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overflowPunct w:val="true"/>
        <w:bidi w:val="0"/>
        <w:spacing w:lineRule="auto" w:line="360" w:before="0" w:after="0"/>
        <w:ind w:left="0" w:right="0" w:hanging="0"/>
        <w:jc w:val="center"/>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t xml:space="preserve"> </w:t>
      </w:r>
      <w:r>
        <w:rPr>
          <w:rFonts w:eastAsia="Calibri" w:cs="Times New Roman" w:ascii="Times New Roman" w:hAnsi="Times New Roman"/>
          <w:b w:val="false"/>
          <w:bCs w:val="false"/>
          <w:color w:val="000000"/>
          <w:sz w:val="28"/>
          <w:szCs w:val="28"/>
          <w:lang w:val="uk-UA" w:eastAsia="en-US" w:bidi="ar-SA"/>
        </w:rPr>
        <w:t>Киевский національный університет ім.</w:t>
      </w:r>
      <w:r>
        <w:rPr>
          <w:rFonts w:eastAsia="Calibri" w:cs="Times New Roman" w:ascii="Times New Roman" w:hAnsi="Times New Roman"/>
          <w:b w:val="false"/>
          <w:bCs w:val="false"/>
          <w:color w:val="000000"/>
          <w:sz w:val="28"/>
          <w:szCs w:val="28"/>
          <w:lang w:val="uk-UA" w:eastAsia="en-US" w:bidi="ar-SA"/>
        </w:rPr>
        <w:t xml:space="preserve"> Тараса Шевченко</w:t>
      </w:r>
    </w:p>
    <w:p>
      <w:pPr>
        <w:pStyle w:val="Normal"/>
        <w:spacing w:before="0" w:after="0"/>
        <w:rPr>
          <w:rFonts w:ascii="Times New Roman" w:hAnsi="Times New Roman" w:eastAsia="Calibri" w:cs="Times New Roman"/>
          <w:b w:val="false"/>
          <w:b w:val="false"/>
          <w:bCs w:val="false"/>
          <w:color w:val="000000"/>
          <w:sz w:val="40"/>
          <w:szCs w:val="40"/>
          <w:lang w:val="uk-UA" w:eastAsia="en-US" w:bidi="ar-SA"/>
        </w:rPr>
      </w:pPr>
      <w:r>
        <w:rPr>
          <w:rFonts w:eastAsia="Calibri" w:cs="Times New Roman" w:ascii="Times New Roman" w:hAnsi="Times New Roman"/>
          <w:b w:val="false"/>
          <w:bCs w:val="false"/>
          <w:color w:val="000000"/>
          <w:sz w:val="40"/>
          <w:szCs w:val="40"/>
          <w:lang w:val="uk-UA" w:eastAsia="en-US" w:bidi="ar-SA"/>
        </w:rPr>
      </w:r>
    </w:p>
    <w:p>
      <w:pPr>
        <w:pStyle w:val="Normal"/>
        <w:spacing w:before="0" w:after="0"/>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r>
    </w:p>
    <w:p>
      <w:pPr>
        <w:pStyle w:val="Normal"/>
        <w:spacing w:before="0" w:after="0"/>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r>
    </w:p>
    <w:p>
      <w:pPr>
        <w:pStyle w:val="Normal"/>
        <w:spacing w:before="0" w:after="0"/>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r>
    </w:p>
    <w:p>
      <w:pPr>
        <w:pStyle w:val="Normal"/>
        <w:spacing w:before="0" w:after="0"/>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r>
    </w:p>
    <w:p>
      <w:pPr>
        <w:pStyle w:val="Normal"/>
        <w:spacing w:before="0" w:after="0"/>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r>
    </w:p>
    <w:p>
      <w:pPr>
        <w:pStyle w:val="Normal"/>
        <w:spacing w:before="0" w:after="0"/>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r>
    </w:p>
    <w:p>
      <w:pPr>
        <w:pStyle w:val="Normal"/>
        <w:spacing w:before="0" w:after="0"/>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r>
    </w:p>
    <w:p>
      <w:pPr>
        <w:pStyle w:val="Normal"/>
        <w:spacing w:before="0" w:after="0"/>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r>
    </w:p>
    <w:p>
      <w:pPr>
        <w:pStyle w:val="Normal"/>
        <w:spacing w:before="0" w:after="0"/>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r>
    </w:p>
    <w:p>
      <w:pPr>
        <w:pStyle w:val="Normal"/>
        <w:spacing w:before="0" w:after="0"/>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r>
    </w:p>
    <w:p>
      <w:pPr>
        <w:pStyle w:val="Normal"/>
        <w:spacing w:before="0" w:after="0"/>
        <w:jc w:val="left"/>
        <w:rPr>
          <w:rFonts w:ascii="Times New Roman" w:hAnsi="Times New Roman" w:eastAsia="Calibri" w:cs="Times New Roman"/>
          <w:b w:val="false"/>
          <w:b w:val="false"/>
          <w:bCs w:val="false"/>
          <w:color w:val="000000"/>
          <w:sz w:val="40"/>
          <w:szCs w:val="40"/>
          <w:lang w:val="uk-UA" w:eastAsia="en-US" w:bidi="ar-SA"/>
        </w:rPr>
      </w:pPr>
      <w:r>
        <w:rPr>
          <w:rFonts w:eastAsia="Calibri" w:cs="Times New Roman" w:ascii="Times New Roman" w:hAnsi="Times New Roman"/>
          <w:b w:val="false"/>
          <w:bCs w:val="false"/>
          <w:color w:val="000000"/>
          <w:sz w:val="40"/>
          <w:szCs w:val="40"/>
          <w:lang w:val="uk-UA" w:eastAsia="en-US" w:bidi="ar-SA"/>
        </w:rPr>
        <w:t xml:space="preserve">Курсова </w:t>
      </w:r>
      <w:r>
        <w:rPr>
          <w:rFonts w:eastAsia="Calibri" w:cs="Times New Roman" w:ascii="Times New Roman" w:hAnsi="Times New Roman"/>
          <w:b w:val="false"/>
          <w:bCs w:val="false"/>
          <w:color w:val="000000"/>
          <w:sz w:val="40"/>
          <w:szCs w:val="40"/>
          <w:lang w:val="uk-UA" w:eastAsia="en-US" w:bidi="ar-SA"/>
        </w:rPr>
        <w:t>робота з дісціпліни:</w:t>
      </w:r>
      <w:r>
        <w:rPr>
          <w:rFonts w:eastAsia="Calibri" w:cs="Times New Roman" w:ascii="Times New Roman" w:hAnsi="Times New Roman"/>
          <w:b w:val="false"/>
          <w:bCs w:val="false"/>
          <w:color w:val="000000"/>
          <w:sz w:val="40"/>
          <w:szCs w:val="40"/>
          <w:lang w:val="uk-UA" w:eastAsia="en-US" w:bidi="ar-SA"/>
        </w:rPr>
        <w:t xml:space="preserve"> «</w:t>
      </w:r>
      <w:r>
        <w:rPr>
          <w:rFonts w:eastAsia="Calibri" w:cs="Times New Roman" w:ascii="Times New Roman" w:hAnsi="Times New Roman"/>
          <w:b w:val="false"/>
          <w:bCs w:val="false"/>
          <w:color w:val="000000"/>
          <w:sz w:val="40"/>
          <w:szCs w:val="40"/>
          <w:lang w:val="uk-UA" w:eastAsia="en-US" w:bidi="ar-SA"/>
        </w:rPr>
        <w:t>А</w:t>
      </w:r>
      <w:r>
        <w:rPr>
          <w:rFonts w:eastAsia="Calibri" w:cs="Times New Roman" w:ascii="Times New Roman" w:hAnsi="Times New Roman"/>
          <w:b w:val="false"/>
          <w:bCs w:val="false"/>
          <w:color w:val="000000"/>
          <w:sz w:val="40"/>
          <w:szCs w:val="40"/>
          <w:lang w:val="uk-UA" w:eastAsia="en-US" w:bidi="ar-SA"/>
        </w:rPr>
        <w:t>дм</w:t>
      </w:r>
      <w:r>
        <w:rPr>
          <w:rFonts w:eastAsia="Calibri" w:cs="Times New Roman" w:ascii="Times New Roman" w:hAnsi="Times New Roman"/>
          <w:b w:val="false"/>
          <w:bCs w:val="false"/>
          <w:color w:val="000000"/>
          <w:sz w:val="40"/>
          <w:szCs w:val="40"/>
          <w:lang w:val="uk-UA" w:eastAsia="en-US" w:bidi="ar-SA"/>
        </w:rPr>
        <w:t>і</w:t>
      </w:r>
      <w:r>
        <w:rPr>
          <w:rFonts w:eastAsia="Calibri" w:cs="Times New Roman" w:ascii="Times New Roman" w:hAnsi="Times New Roman"/>
          <w:b w:val="false"/>
          <w:bCs w:val="false"/>
          <w:color w:val="000000"/>
          <w:sz w:val="40"/>
          <w:szCs w:val="40"/>
          <w:lang w:val="uk-UA" w:eastAsia="en-US" w:bidi="ar-SA"/>
        </w:rPr>
        <w:t>н</w:t>
      </w:r>
      <w:r>
        <w:rPr>
          <w:rFonts w:eastAsia="Calibri" w:cs="Times New Roman" w:ascii="Times New Roman" w:hAnsi="Times New Roman"/>
          <w:b w:val="false"/>
          <w:bCs w:val="false"/>
          <w:color w:val="000000"/>
          <w:sz w:val="40"/>
          <w:szCs w:val="40"/>
          <w:lang w:val="uk-UA" w:eastAsia="en-US" w:bidi="ar-SA"/>
        </w:rPr>
        <w:t>і</w:t>
      </w:r>
      <w:r>
        <w:rPr>
          <w:rFonts w:eastAsia="Calibri" w:cs="Times New Roman" w:ascii="Times New Roman" w:hAnsi="Times New Roman"/>
          <w:b w:val="false"/>
          <w:bCs w:val="false"/>
          <w:color w:val="000000"/>
          <w:sz w:val="40"/>
          <w:szCs w:val="40"/>
          <w:lang w:val="uk-UA" w:eastAsia="en-US" w:bidi="ar-SA"/>
        </w:rPr>
        <w:t>стративн</w:t>
      </w:r>
      <w:r>
        <w:rPr>
          <w:rFonts w:eastAsia="Calibri" w:cs="Times New Roman" w:ascii="Times New Roman" w:hAnsi="Times New Roman"/>
          <w:b w:val="false"/>
          <w:bCs w:val="false"/>
          <w:color w:val="000000"/>
          <w:sz w:val="40"/>
          <w:szCs w:val="40"/>
          <w:lang w:val="uk-UA" w:eastAsia="en-US" w:bidi="ar-SA"/>
        </w:rPr>
        <w:t>е</w:t>
      </w:r>
      <w:r>
        <w:rPr>
          <w:rFonts w:eastAsia="Calibri" w:cs="Times New Roman" w:ascii="Times New Roman" w:hAnsi="Times New Roman"/>
          <w:b w:val="false"/>
          <w:bCs w:val="false"/>
          <w:color w:val="000000"/>
          <w:sz w:val="40"/>
          <w:szCs w:val="40"/>
          <w:lang w:val="uk-UA" w:eastAsia="en-US" w:bidi="ar-SA"/>
        </w:rPr>
        <w:t xml:space="preserve"> процессуальн</w:t>
      </w:r>
      <w:r>
        <w:rPr>
          <w:rFonts w:eastAsia="Calibri" w:cs="Times New Roman" w:ascii="Times New Roman" w:hAnsi="Times New Roman"/>
          <w:b w:val="false"/>
          <w:bCs w:val="false"/>
          <w:color w:val="000000"/>
          <w:sz w:val="40"/>
          <w:szCs w:val="40"/>
          <w:lang w:val="uk-UA" w:eastAsia="en-US" w:bidi="ar-SA"/>
        </w:rPr>
        <w:t>е</w:t>
      </w:r>
      <w:r>
        <w:rPr>
          <w:rFonts w:eastAsia="Calibri" w:cs="Times New Roman" w:ascii="Times New Roman" w:hAnsi="Times New Roman"/>
          <w:b w:val="false"/>
          <w:bCs w:val="false"/>
          <w:color w:val="000000"/>
          <w:sz w:val="40"/>
          <w:szCs w:val="40"/>
          <w:lang w:val="uk-UA" w:eastAsia="en-US" w:bidi="ar-SA"/>
        </w:rPr>
        <w:t xml:space="preserve"> прав</w:t>
      </w:r>
      <w:r>
        <w:rPr>
          <w:rFonts w:eastAsia="Calibri" w:cs="Times New Roman" w:ascii="Times New Roman" w:hAnsi="Times New Roman"/>
          <w:b w:val="false"/>
          <w:bCs w:val="false"/>
          <w:color w:val="000000"/>
          <w:sz w:val="40"/>
          <w:szCs w:val="40"/>
          <w:lang w:val="uk-UA" w:eastAsia="en-US" w:bidi="ar-SA"/>
        </w:rPr>
        <w:t>о»</w:t>
      </w:r>
    </w:p>
    <w:p>
      <w:pPr>
        <w:pStyle w:val="Normal"/>
        <w:spacing w:before="0" w:after="0"/>
        <w:jc w:val="center"/>
        <w:rPr>
          <w:rFonts w:ascii="Times New Roman" w:hAnsi="Times New Roman" w:eastAsia="Calibri" w:cs="Times New Roman"/>
          <w:b w:val="false"/>
          <w:b w:val="false"/>
          <w:bCs w:val="false"/>
          <w:color w:val="000000"/>
          <w:sz w:val="40"/>
          <w:szCs w:val="40"/>
          <w:lang w:val="uk-UA" w:eastAsia="en-US" w:bidi="ar-SA"/>
        </w:rPr>
      </w:pPr>
      <w:r>
        <w:rPr>
          <w:rFonts w:eastAsia="Calibri" w:cs="Times New Roman" w:ascii="Times New Roman" w:hAnsi="Times New Roman"/>
          <w:b w:val="false"/>
          <w:bCs w:val="false"/>
          <w:color w:val="000000"/>
          <w:sz w:val="40"/>
          <w:szCs w:val="40"/>
          <w:lang w:val="uk-UA" w:eastAsia="en-US" w:bidi="ar-SA"/>
        </w:rPr>
      </w:r>
    </w:p>
    <w:p>
      <w:pPr>
        <w:pStyle w:val="Normal"/>
        <w:spacing w:before="0" w:after="0"/>
        <w:jc w:val="left"/>
        <w:rPr>
          <w:rFonts w:ascii="Times New Roman" w:hAnsi="Times New Roman" w:eastAsia="Calibri" w:cs="Times New Roman"/>
          <w:b w:val="false"/>
          <w:b w:val="false"/>
          <w:bCs w:val="false"/>
          <w:color w:val="000000"/>
          <w:sz w:val="40"/>
          <w:szCs w:val="40"/>
          <w:lang w:val="uk-UA" w:eastAsia="en-US" w:bidi="ar-SA"/>
        </w:rPr>
      </w:pPr>
      <w:r>
        <w:rPr>
          <w:rFonts w:eastAsia="Calibri" w:cs="Times New Roman" w:ascii="Times New Roman" w:hAnsi="Times New Roman"/>
          <w:b w:val="false"/>
          <w:bCs w:val="false"/>
          <w:color w:val="000000"/>
          <w:sz w:val="40"/>
          <w:szCs w:val="40"/>
          <w:lang w:val="uk-UA" w:eastAsia="en-US" w:bidi="ar-SA"/>
        </w:rPr>
        <w:t>на тему: «</w:t>
      </w:r>
      <w:r>
        <w:rPr>
          <w:rFonts w:eastAsia="Calibri" w:cs="Times New Roman" w:ascii="Times New Roman" w:hAnsi="Times New Roman"/>
          <w:b w:val="false"/>
          <w:bCs w:val="false"/>
          <w:color w:val="000000"/>
          <w:sz w:val="40"/>
          <w:szCs w:val="40"/>
          <w:lang w:val="uk-UA" w:eastAsia="en-US" w:bidi="ar-SA"/>
        </w:rPr>
        <w:t>Критерії та зміст визначення юрисдикції адміністративних судів</w:t>
      </w:r>
      <w:r>
        <w:rPr>
          <w:rFonts w:eastAsia="Calibri" w:cs="Times New Roman" w:ascii="Times New Roman" w:hAnsi="Times New Roman"/>
          <w:b w:val="false"/>
          <w:bCs w:val="false"/>
          <w:color w:val="000000"/>
          <w:sz w:val="40"/>
          <w:szCs w:val="40"/>
          <w:lang w:val="uk-UA" w:eastAsia="en-US" w:bidi="ar-SA"/>
        </w:rPr>
        <w:t>»</w:t>
      </w:r>
    </w:p>
    <w:p>
      <w:pPr>
        <w:pStyle w:val="Normal"/>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
    </w:p>
    <w:p>
      <w:pPr>
        <w:pStyle w:val="Normal"/>
        <w:widowControl/>
        <w:overflowPunct w:val="true"/>
        <w:bidi w:val="0"/>
        <w:spacing w:lineRule="auto" w:line="360" w:before="0" w:after="0"/>
        <w:ind w:left="0" w:right="0" w:firstLine="680"/>
        <w:jc w:val="both"/>
        <w:rPr/>
      </w:pPr>
      <w:r>
        <w:rPr>
          <w:rFonts w:eastAsia="Calibri" w:cs="Times New Roman" w:ascii="Times New Roman" w:hAnsi="Times New Roman"/>
          <w:b w:val="false"/>
          <w:bCs w:val="false"/>
          <w:color w:val="000000"/>
          <w:sz w:val="28"/>
          <w:szCs w:val="28"/>
          <w:lang w:val="uk-UA" w:eastAsia="en-US" w:bidi="ar-SA"/>
        </w:rPr>
        <w:t xml:space="preserve">                                                            </w:t>
      </w:r>
    </w:p>
    <w:p>
      <w:pPr>
        <w:pStyle w:val="Normal"/>
        <w:widowControl/>
        <w:overflowPunct w:val="true"/>
        <w:bidi w:val="0"/>
        <w:spacing w:lineRule="auto" w:line="360" w:before="0" w:after="0"/>
        <w:ind w:left="0" w:right="0" w:firstLine="680"/>
        <w:jc w:val="both"/>
        <w:rPr/>
      </w:pPr>
      <w:r>
        <w:rPr>
          <w:rFonts w:eastAsia="Calibri" w:cs="Times New Roman" w:ascii="Times New Roman" w:hAnsi="Times New Roman"/>
          <w:b w:val="false"/>
          <w:bCs w:val="false"/>
          <w:color w:val="000000"/>
          <w:sz w:val="28"/>
          <w:szCs w:val="28"/>
          <w:lang w:val="uk-UA" w:eastAsia="en-US" w:bidi="ar-SA"/>
        </w:rPr>
        <w:t xml:space="preserve">                                           </w:t>
      </w:r>
      <w:r>
        <w:rPr>
          <w:rFonts w:eastAsia="Calibri" w:cs="Times New Roman" w:ascii="Times New Roman" w:hAnsi="Times New Roman"/>
          <w:b w:val="false"/>
          <w:bCs w:val="false"/>
          <w:color w:val="000000"/>
          <w:sz w:val="28"/>
          <w:szCs w:val="28"/>
          <w:lang w:val="uk-UA" w:eastAsia="en-US" w:bidi="ar-SA"/>
        </w:rPr>
        <w:tab/>
        <w:tab/>
        <w:tab/>
      </w:r>
    </w:p>
    <w:p>
      <w:pPr>
        <w:pStyle w:val="Normal"/>
        <w:widowControl/>
        <w:overflowPunct w:val="true"/>
        <w:bidi w:val="0"/>
        <w:spacing w:lineRule="auto" w:line="360" w:before="0" w:after="0"/>
        <w:ind w:left="0" w:right="0" w:firstLine="680"/>
        <w:jc w:val="both"/>
        <w:rPr/>
      </w:pPr>
      <w:r>
        <w:rPr>
          <w:rFonts w:eastAsia="Calibri" w:cs="Times New Roman" w:ascii="Times New Roman" w:hAnsi="Times New Roman"/>
          <w:b w:val="false"/>
          <w:bCs w:val="false"/>
          <w:color w:val="000000"/>
          <w:sz w:val="28"/>
          <w:szCs w:val="28"/>
          <w:lang w:val="uk-UA" w:eastAsia="en-US" w:bidi="ar-SA"/>
        </w:rPr>
        <w:tab/>
        <w:tab/>
        <w:tab/>
        <w:tab/>
        <w:tab/>
        <w:tab/>
        <w:tab/>
        <w:tab/>
        <w:tab/>
        <w:tab/>
        <w:tab/>
        <w:tab/>
        <w:tab/>
        <w:tab/>
        <w:tab/>
        <w:tab/>
        <w:tab/>
        <w:tab/>
        <w:tab/>
        <w:tab/>
        <w:tab/>
        <w:tab/>
      </w:r>
      <w:r>
        <w:rPr>
          <w:rFonts w:eastAsia="Calibri" w:cs="Times New Roman" w:ascii="Times New Roman" w:hAnsi="Times New Roman"/>
          <w:b w:val="false"/>
          <w:bCs w:val="false"/>
          <w:color w:val="000000"/>
          <w:sz w:val="28"/>
          <w:szCs w:val="28"/>
          <w:lang w:val="uk-UA" w:eastAsia="en-US" w:bidi="ar-SA"/>
        </w:rPr>
        <w:t>Виконав:</w:t>
      </w:r>
    </w:p>
    <w:p>
      <w:pPr>
        <w:pStyle w:val="Normal"/>
        <w:widowControl/>
        <w:overflowPunct w:val="true"/>
        <w:bidi w:val="0"/>
        <w:spacing w:lineRule="auto" w:line="360" w:before="0" w:after="0"/>
        <w:ind w:left="0" w:right="0" w:firstLine="680"/>
        <w:jc w:val="both"/>
        <w:rPr/>
      </w:pPr>
      <w:r>
        <w:rPr>
          <w:rFonts w:eastAsia="Calibri" w:cs="Times New Roman" w:ascii="Times New Roman" w:hAnsi="Times New Roman"/>
          <w:b w:val="false"/>
          <w:bCs w:val="false"/>
          <w:color w:val="000000"/>
          <w:sz w:val="28"/>
          <w:szCs w:val="28"/>
          <w:lang w:val="uk-UA" w:eastAsia="en-US" w:bidi="ar-SA"/>
        </w:rPr>
        <w:tab/>
        <w:tab/>
        <w:tab/>
        <w:tab/>
        <w:tab/>
        <w:tab/>
        <w:tab/>
        <w:tab/>
        <w:tab/>
        <w:t>с</w:t>
      </w:r>
      <w:r>
        <w:rPr>
          <w:rFonts w:eastAsia="Calibri" w:cs="Times New Roman" w:ascii="Times New Roman" w:hAnsi="Times New Roman"/>
          <w:b w:val="false"/>
          <w:bCs w:val="false"/>
          <w:color w:val="000000"/>
          <w:sz w:val="28"/>
          <w:szCs w:val="28"/>
          <w:lang w:val="uk-UA" w:eastAsia="en-US" w:bidi="ar-SA"/>
        </w:rPr>
        <w:t>тудент 3 курс</w:t>
      </w:r>
      <w:r>
        <w:rPr>
          <w:rFonts w:eastAsia="Calibri" w:cs="Times New Roman" w:ascii="Times New Roman" w:hAnsi="Times New Roman"/>
          <w:b w:val="false"/>
          <w:bCs w:val="false"/>
          <w:color w:val="000000"/>
          <w:sz w:val="28"/>
          <w:szCs w:val="28"/>
          <w:lang w:val="uk-UA" w:eastAsia="en-US" w:bidi="ar-SA"/>
        </w:rPr>
        <w:t>у</w:t>
      </w:r>
    </w:p>
    <w:p>
      <w:pPr>
        <w:pStyle w:val="Normal"/>
        <w:widowControl/>
        <w:overflowPunct w:val="true"/>
        <w:bidi w:val="0"/>
        <w:spacing w:lineRule="auto" w:line="360" w:before="0" w:after="0"/>
        <w:ind w:left="0" w:right="0" w:firstLine="680"/>
        <w:jc w:val="both"/>
        <w:rPr/>
      </w:pPr>
      <w:r>
        <w:rPr>
          <w:rFonts w:eastAsia="Calibri" w:cs="Times New Roman" w:ascii="Times New Roman" w:hAnsi="Times New Roman"/>
          <w:b w:val="false"/>
          <w:bCs w:val="false"/>
          <w:color w:val="000000"/>
          <w:sz w:val="28"/>
          <w:szCs w:val="28"/>
          <w:lang w:val="uk-UA" w:eastAsia="en-US" w:bidi="ar-SA"/>
        </w:rPr>
        <w:tab/>
        <w:tab/>
        <w:tab/>
        <w:tab/>
        <w:tab/>
        <w:tab/>
        <w:tab/>
        <w:tab/>
        <w:tab/>
        <w:t>і</w:t>
      </w:r>
      <w:r>
        <w:rPr>
          <w:rFonts w:eastAsia="Calibri" w:cs="Times New Roman" w:ascii="Times New Roman" w:hAnsi="Times New Roman"/>
          <w:b w:val="false"/>
          <w:bCs w:val="false"/>
          <w:color w:val="000000"/>
          <w:sz w:val="28"/>
          <w:szCs w:val="28"/>
          <w:lang w:val="uk-UA" w:eastAsia="en-US" w:bidi="ar-SA"/>
        </w:rPr>
        <w:t>но</w:t>
      </w:r>
      <w:r>
        <w:rPr>
          <w:rFonts w:eastAsia="Calibri" w:cs="Times New Roman" w:ascii="Times New Roman" w:hAnsi="Times New Roman"/>
          <w:b w:val="false"/>
          <w:bCs w:val="false"/>
          <w:color w:val="000000"/>
          <w:sz w:val="28"/>
          <w:szCs w:val="28"/>
          <w:lang w:val="uk-UA" w:eastAsia="en-US" w:bidi="ar-SA"/>
        </w:rPr>
        <w:t>земної</w:t>
      </w:r>
      <w:r>
        <w:rPr>
          <w:rFonts w:eastAsia="Calibri" w:cs="Times New Roman" w:ascii="Times New Roman" w:hAnsi="Times New Roman"/>
          <w:b w:val="false"/>
          <w:bCs w:val="false"/>
          <w:color w:val="000000"/>
          <w:sz w:val="28"/>
          <w:szCs w:val="28"/>
          <w:lang w:val="uk-UA" w:eastAsia="en-US" w:bidi="ar-SA"/>
        </w:rPr>
        <w:t xml:space="preserve"> груп</w:t>
      </w:r>
      <w:r>
        <w:rPr>
          <w:rFonts w:eastAsia="Calibri" w:cs="Times New Roman" w:ascii="Times New Roman" w:hAnsi="Times New Roman"/>
          <w:b w:val="false"/>
          <w:bCs w:val="false"/>
          <w:color w:val="000000"/>
          <w:sz w:val="28"/>
          <w:szCs w:val="28"/>
          <w:lang w:val="uk-UA" w:eastAsia="en-US" w:bidi="ar-SA"/>
        </w:rPr>
        <w:t>и</w:t>
      </w:r>
    </w:p>
    <w:p>
      <w:pPr>
        <w:pStyle w:val="Normal"/>
        <w:widowControl/>
        <w:overflowPunct w:val="true"/>
        <w:bidi w:val="0"/>
        <w:spacing w:lineRule="auto" w:line="360" w:before="0" w:after="0"/>
        <w:ind w:left="0" w:right="0" w:firstLine="680"/>
        <w:jc w:val="both"/>
        <w:rPr/>
      </w:pPr>
      <w:r>
        <w:rPr>
          <w:rFonts w:eastAsia="Calibri" w:cs="Times New Roman" w:ascii="Times New Roman" w:hAnsi="Times New Roman"/>
          <w:b w:val="false"/>
          <w:bCs w:val="false"/>
          <w:color w:val="000000"/>
          <w:sz w:val="28"/>
          <w:szCs w:val="28"/>
          <w:lang w:val="uk-UA" w:eastAsia="en-US" w:bidi="ar-SA"/>
        </w:rPr>
        <w:tab/>
        <w:tab/>
        <w:tab/>
        <w:tab/>
        <w:tab/>
        <w:tab/>
        <w:tab/>
        <w:tab/>
        <w:tab/>
      </w:r>
      <w:r>
        <w:rPr>
          <w:rFonts w:eastAsia="Calibri" w:cs="Times New Roman" w:ascii="Times New Roman" w:hAnsi="Times New Roman"/>
          <w:b w:val="false"/>
          <w:bCs w:val="false"/>
          <w:color w:val="000000"/>
          <w:sz w:val="28"/>
          <w:szCs w:val="28"/>
          <w:lang w:val="uk-UA" w:eastAsia="en-US" w:bidi="ar-SA"/>
        </w:rPr>
        <w:t>Давид Бегларя</w:t>
      </w:r>
      <w:r>
        <w:rPr>
          <w:rFonts w:eastAsia="Calibri" w:cs="Times New Roman" w:ascii="Times New Roman" w:hAnsi="Times New Roman"/>
          <w:b w:val="false"/>
          <w:bCs w:val="false"/>
          <w:color w:val="000000"/>
          <w:sz w:val="28"/>
          <w:szCs w:val="28"/>
          <w:lang w:val="uk-UA" w:eastAsia="en-US" w:bidi="ar-SA"/>
        </w:rPr>
        <w:t>н</w:t>
      </w:r>
    </w:p>
    <w:p>
      <w:pPr>
        <w:pStyle w:val="Normal"/>
        <w:spacing w:lineRule="auto" w:line="360" w:before="0" w:after="0"/>
        <w:jc w:val="center"/>
        <w:rPr>
          <w:b/>
          <w:b/>
          <w:bCs/>
        </w:rPr>
      </w:pPr>
      <w:r>
        <w:rPr>
          <w:rFonts w:cs="Times New Roman" w:ascii="Times New Roman" w:hAnsi="Times New Roman"/>
          <w:b/>
          <w:bCs/>
          <w:sz w:val="28"/>
          <w:szCs w:val="28"/>
          <w:lang w:val="uk-UA"/>
        </w:rPr>
        <w:t>ЗМІСТ:</w:t>
      </w:r>
    </w:p>
    <w:p>
      <w:pPr>
        <w:pStyle w:val="Normal"/>
        <w:spacing w:lineRule="auto" w:line="360" w:before="0" w:after="0"/>
        <w:rPr/>
      </w:pPr>
      <w:r>
        <w:rPr>
          <w:rFonts w:cs="Times New Roman" w:ascii="Times New Roman" w:hAnsi="Times New Roman"/>
          <w:sz w:val="28"/>
          <w:szCs w:val="28"/>
        </w:rPr>
        <w:t>ЗМІСТ……………………………………………………………………………</w:t>
      </w:r>
      <w:r>
        <w:rPr>
          <w:rFonts w:cs="Times New Roman" w:ascii="Times New Roman" w:hAnsi="Times New Roman"/>
          <w:sz w:val="28"/>
          <w:szCs w:val="28"/>
        </w:rPr>
        <w:t>...2</w:t>
      </w:r>
    </w:p>
    <w:p>
      <w:pPr>
        <w:pStyle w:val="Normal"/>
        <w:spacing w:lineRule="auto" w:line="360" w:before="0" w:after="0"/>
        <w:rPr/>
      </w:pPr>
      <w:r>
        <w:rPr>
          <w:rFonts w:cs="Times New Roman" w:ascii="Times New Roman" w:hAnsi="Times New Roman"/>
          <w:sz w:val="28"/>
          <w:szCs w:val="28"/>
        </w:rPr>
        <w:t>ВСТУП……………………………………………………………………………..</w:t>
      </w:r>
      <w:r>
        <w:rPr>
          <w:rFonts w:cs="Times New Roman" w:ascii="Times New Roman" w:hAnsi="Times New Roman"/>
          <w:sz w:val="28"/>
          <w:szCs w:val="28"/>
        </w:rPr>
        <w:t>3</w:t>
      </w:r>
    </w:p>
    <w:p>
      <w:pPr>
        <w:pStyle w:val="Normal"/>
        <w:widowControl/>
        <w:overflowPunct w:val="true"/>
        <w:bidi w:val="0"/>
        <w:spacing w:lineRule="auto" w:line="360" w:before="0" w:after="0"/>
        <w:ind w:left="0" w:right="0" w:hanging="0"/>
        <w:jc w:val="both"/>
        <w:rPr/>
      </w:pPr>
      <w:r>
        <w:rPr>
          <w:rFonts w:eastAsia="Calibri" w:cs="Times New Roman" w:ascii="Times New Roman" w:hAnsi="Times New Roman"/>
          <w:b w:val="false"/>
          <w:bCs w:val="false"/>
          <w:color w:val="000000"/>
          <w:sz w:val="28"/>
          <w:szCs w:val="28"/>
          <w:lang w:val="uk-UA" w:eastAsia="en-US" w:bidi="ar-SA"/>
        </w:rPr>
        <w:t xml:space="preserve">РОЗДІЛ 1. МІСЦЕ І </w:t>
      </w:r>
      <w:r>
        <w:rPr>
          <w:rFonts w:eastAsia="Calibri" w:cs="Times New Roman" w:ascii="Times New Roman" w:hAnsi="Times New Roman"/>
          <w:b w:val="false"/>
          <w:bCs w:val="false"/>
          <w:color w:val="000000"/>
          <w:sz w:val="28"/>
          <w:szCs w:val="28"/>
          <w:lang w:val="uk-UA" w:eastAsia="en-US" w:bidi="ar-SA"/>
        </w:rPr>
        <w:t>ЗНАЧЕННЯ</w:t>
      </w:r>
      <w:r>
        <w:rPr>
          <w:rFonts w:eastAsia="Calibri" w:cs="Times New Roman" w:ascii="Times New Roman" w:hAnsi="Times New Roman"/>
          <w:b w:val="false"/>
          <w:bCs w:val="false"/>
          <w:color w:val="000000"/>
          <w:sz w:val="28"/>
          <w:szCs w:val="28"/>
          <w:lang w:val="uk-UA" w:eastAsia="en-US" w:bidi="ar-SA"/>
        </w:rPr>
        <w:t xml:space="preserve"> АДМІНІСТРАТИВНИХ СУДІВ У                                                                  ЗАХИСТІ ПРАВ І СВОБОД ЛЮДИНИ.................................................................</w:t>
      </w:r>
      <w:r>
        <w:rPr>
          <w:rFonts w:eastAsia="Calibri" w:cs="Times New Roman" w:ascii="Times New Roman" w:hAnsi="Times New Roman"/>
          <w:b w:val="false"/>
          <w:bCs w:val="false"/>
          <w:color w:val="000000"/>
          <w:sz w:val="28"/>
          <w:szCs w:val="28"/>
          <w:lang w:val="uk-UA" w:eastAsia="en-US" w:bidi="ar-SA"/>
        </w:rPr>
        <w:t>6</w:t>
      </w:r>
    </w:p>
    <w:p>
      <w:pPr>
        <w:pStyle w:val="Normal"/>
        <w:widowControl/>
        <w:overflowPunct w:val="true"/>
        <w:bidi w:val="0"/>
        <w:spacing w:lineRule="auto" w:line="360" w:before="0" w:after="0"/>
        <w:ind w:left="0" w:right="0" w:hanging="0"/>
        <w:jc w:val="both"/>
        <w:rPr/>
      </w:pPr>
      <w:r>
        <w:rPr>
          <w:rFonts w:eastAsia="Calibri" w:cs="Times New Roman" w:ascii="Times New Roman" w:hAnsi="Times New Roman"/>
          <w:b w:val="false"/>
          <w:bCs w:val="false"/>
          <w:color w:val="000000"/>
          <w:sz w:val="28"/>
          <w:szCs w:val="28"/>
          <w:lang w:val="uk-UA" w:eastAsia="en-US" w:bidi="ar-SA"/>
        </w:rPr>
        <w:t>1.1 Основні засад</w:t>
      </w:r>
      <w:r>
        <w:rPr>
          <w:rFonts w:eastAsia="Calibri" w:cs="Times New Roman" w:ascii="Times New Roman" w:hAnsi="Times New Roman"/>
          <w:b w:val="false"/>
          <w:bCs w:val="false"/>
          <w:color w:val="000000"/>
          <w:sz w:val="28"/>
          <w:szCs w:val="28"/>
          <w:lang w:val="uk-UA" w:eastAsia="en-US" w:bidi="ar-SA"/>
        </w:rPr>
        <w:t>и</w:t>
      </w:r>
      <w:r>
        <w:rPr>
          <w:rFonts w:eastAsia="Calibri" w:cs="Times New Roman" w:ascii="Times New Roman" w:hAnsi="Times New Roman"/>
          <w:b w:val="false"/>
          <w:bCs w:val="false"/>
          <w:color w:val="000000"/>
          <w:sz w:val="28"/>
          <w:szCs w:val="28"/>
          <w:lang w:val="uk-UA" w:eastAsia="en-US" w:bidi="ar-SA"/>
        </w:rPr>
        <w:t xml:space="preserve"> організації здіснення правосуддя..........................................</w:t>
      </w:r>
      <w:r>
        <w:rPr>
          <w:rFonts w:eastAsia="Calibri" w:cs="Times New Roman" w:ascii="Times New Roman" w:hAnsi="Times New Roman"/>
          <w:b w:val="false"/>
          <w:bCs w:val="false"/>
          <w:color w:val="000000"/>
          <w:sz w:val="28"/>
          <w:szCs w:val="28"/>
          <w:lang w:val="uk-UA" w:eastAsia="en-US" w:bidi="ar-SA"/>
        </w:rPr>
        <w:t>6</w:t>
      </w:r>
    </w:p>
    <w:p>
      <w:pPr>
        <w:pStyle w:val="Normal"/>
        <w:widowControl/>
        <w:overflowPunct w:val="true"/>
        <w:bidi w:val="0"/>
        <w:spacing w:lineRule="auto" w:line="360" w:before="0" w:after="0"/>
        <w:ind w:left="0" w:right="0" w:hanging="0"/>
        <w:jc w:val="both"/>
        <w:rPr/>
      </w:pPr>
      <w:r>
        <w:rPr>
          <w:rFonts w:eastAsia="Calibri" w:cs="Times New Roman" w:ascii="Times New Roman" w:hAnsi="Times New Roman"/>
          <w:b w:val="false"/>
          <w:bCs w:val="false"/>
          <w:color w:val="000000"/>
          <w:sz w:val="28"/>
          <w:szCs w:val="28"/>
          <w:lang w:val="uk-UA" w:eastAsia="en-US" w:bidi="ar-SA"/>
        </w:rPr>
        <w:t xml:space="preserve">1.2  </w:t>
      </w:r>
      <w:r>
        <w:rPr>
          <w:rFonts w:eastAsia="Calibri" w:cs="Times New Roman" w:ascii="Times New Roman" w:hAnsi="Times New Roman"/>
          <w:b w:val="false"/>
          <w:bCs w:val="false"/>
          <w:i w:val="false"/>
          <w:iCs w:val="false"/>
          <w:color w:val="000000"/>
          <w:sz w:val="28"/>
          <w:szCs w:val="28"/>
          <w:lang w:val="uk-UA" w:eastAsia="en-US" w:bidi="ar-SA"/>
        </w:rPr>
        <w:t>Поняття судів загальної юрисдикції та їх види.............................................</w:t>
      </w:r>
      <w:r>
        <w:rPr>
          <w:rFonts w:eastAsia="Calibri" w:cs="Times New Roman" w:ascii="Times New Roman" w:hAnsi="Times New Roman"/>
          <w:b w:val="false"/>
          <w:bCs w:val="false"/>
          <w:i w:val="false"/>
          <w:iCs w:val="false"/>
          <w:color w:val="000000"/>
          <w:sz w:val="28"/>
          <w:szCs w:val="28"/>
          <w:lang w:val="uk-UA" w:eastAsia="en-US" w:bidi="ar-SA"/>
        </w:rPr>
        <w:t>9</w:t>
      </w:r>
    </w:p>
    <w:p>
      <w:pPr>
        <w:pStyle w:val="Normal"/>
        <w:widowControl/>
        <w:overflowPunct w:val="true"/>
        <w:bidi w:val="0"/>
        <w:spacing w:lineRule="auto" w:line="360" w:before="0" w:after="0"/>
        <w:ind w:left="0" w:right="0" w:hanging="0"/>
        <w:jc w:val="both"/>
        <w:rPr/>
      </w:pPr>
      <w:r>
        <w:rPr>
          <w:rFonts w:eastAsia="Calibri" w:cs="Times New Roman" w:ascii="Times New Roman" w:hAnsi="Times New Roman"/>
          <w:b w:val="false"/>
          <w:bCs w:val="false"/>
          <w:color w:val="000000"/>
          <w:sz w:val="28"/>
          <w:szCs w:val="28"/>
          <w:lang w:val="uk-UA" w:eastAsia="en-US" w:bidi="ar-SA"/>
        </w:rPr>
        <w:t>РОЗДІЛ 2. КАТЕГОРІЯ ЮРИСДІКЦІЇ АДМІНІСТРАТІВНІХ СУДІВ.............</w:t>
      </w:r>
      <w:r>
        <w:rPr>
          <w:rFonts w:eastAsia="Calibri" w:cs="Times New Roman" w:ascii="Times New Roman" w:hAnsi="Times New Roman"/>
          <w:b w:val="false"/>
          <w:bCs w:val="false"/>
          <w:color w:val="000000"/>
          <w:sz w:val="28"/>
          <w:szCs w:val="28"/>
          <w:lang w:val="uk-UA" w:eastAsia="en-US" w:bidi="ar-SA"/>
        </w:rPr>
        <w:t>14</w:t>
      </w:r>
    </w:p>
    <w:p>
      <w:pPr>
        <w:pStyle w:val="Normal"/>
        <w:widowControl/>
        <w:overflowPunct w:val="true"/>
        <w:bidi w:val="0"/>
        <w:spacing w:lineRule="auto" w:line="360" w:before="0" w:after="0"/>
        <w:ind w:left="0" w:right="0" w:hanging="0"/>
        <w:jc w:val="both"/>
        <w:rPr/>
      </w:pPr>
      <w:r>
        <w:rPr>
          <w:rFonts w:eastAsia="Calibri" w:cs="Times New Roman" w:ascii="Times New Roman" w:hAnsi="Times New Roman"/>
          <w:b w:val="false"/>
          <w:bCs w:val="false"/>
          <w:color w:val="000000"/>
          <w:sz w:val="28"/>
          <w:szCs w:val="28"/>
          <w:lang w:val="uk-UA" w:eastAsia="en-US" w:bidi="ar-SA"/>
        </w:rPr>
        <w:t>2.1 Юрисдикція суду: поняття та загальні крітерії встановлення.....................</w:t>
      </w:r>
      <w:r>
        <w:rPr>
          <w:rFonts w:eastAsia="Calibri" w:cs="Times New Roman" w:ascii="Times New Roman" w:hAnsi="Times New Roman"/>
          <w:b w:val="false"/>
          <w:bCs w:val="false"/>
          <w:color w:val="000000"/>
          <w:sz w:val="28"/>
          <w:szCs w:val="28"/>
          <w:lang w:val="uk-UA" w:eastAsia="en-US" w:bidi="ar-SA"/>
        </w:rPr>
        <w:t>14</w:t>
      </w:r>
    </w:p>
    <w:p>
      <w:pPr>
        <w:pStyle w:val="Normal"/>
        <w:widowControl/>
        <w:overflowPunct w:val="true"/>
        <w:bidi w:val="0"/>
        <w:spacing w:lineRule="auto" w:line="360" w:before="0" w:after="0"/>
        <w:ind w:left="0" w:right="0" w:hanging="0"/>
        <w:jc w:val="both"/>
        <w:rPr/>
      </w:pPr>
      <w:r>
        <w:rPr>
          <w:rFonts w:eastAsia="Calibri" w:cs="Times New Roman" w:ascii="Times New Roman" w:hAnsi="Times New Roman"/>
          <w:b w:val="false"/>
          <w:bCs w:val="false"/>
          <w:color w:val="000000"/>
          <w:sz w:val="28"/>
          <w:szCs w:val="28"/>
          <w:lang w:val="uk-UA" w:eastAsia="en-US" w:bidi="ar-SA"/>
        </w:rPr>
        <w:t>2.2</w:t>
      </w:r>
      <w:r>
        <w:rPr>
          <w:rFonts w:eastAsia="Calibri" w:cs="Times New Roman" w:ascii="Times New Roman" w:hAnsi="Times New Roman"/>
          <w:b w:val="false"/>
          <w:bCs w:val="false"/>
          <w:color w:val="000000"/>
          <w:sz w:val="28"/>
          <w:szCs w:val="28"/>
          <w:lang w:val="uk-UA" w:eastAsia="en-US" w:bidi="ar-SA"/>
        </w:rPr>
        <w:t xml:space="preserve"> </w:t>
      </w:r>
      <w:r>
        <w:rPr>
          <w:rFonts w:eastAsia="Calibri" w:cs="Times New Roman" w:ascii="Times New Roman" w:hAnsi="Times New Roman"/>
          <w:b w:val="false"/>
          <w:bCs w:val="false"/>
          <w:color w:val="000000"/>
          <w:sz w:val="28"/>
          <w:szCs w:val="28"/>
          <w:lang w:val="uk-UA" w:eastAsia="en-US" w:bidi="ar-SA"/>
        </w:rPr>
        <w:t>Критерії визначення юрисдикції адміністративних судів...........................</w:t>
      </w:r>
      <w:r>
        <w:rPr>
          <w:rFonts w:eastAsia="Calibri" w:cs="Times New Roman" w:ascii="Times New Roman" w:hAnsi="Times New Roman"/>
          <w:b w:val="false"/>
          <w:bCs w:val="false"/>
          <w:color w:val="000000"/>
          <w:sz w:val="28"/>
          <w:szCs w:val="28"/>
          <w:lang w:val="uk-UA" w:eastAsia="en-US" w:bidi="ar-SA"/>
        </w:rPr>
        <w:t>21</w:t>
      </w:r>
      <w:r>
        <w:rPr>
          <w:rFonts w:eastAsia="Calibri" w:cs="Times New Roman" w:ascii="Times New Roman" w:hAnsi="Times New Roman"/>
          <w:b w:val="false"/>
          <w:bCs w:val="false"/>
          <w:color w:val="000000"/>
          <w:sz w:val="28"/>
          <w:szCs w:val="28"/>
          <w:lang w:val="uk-UA" w:eastAsia="en-US" w:bidi="ar-SA"/>
        </w:rPr>
        <w:t xml:space="preserve"> </w:t>
      </w:r>
    </w:p>
    <w:p>
      <w:pPr>
        <w:pStyle w:val="Normal"/>
        <w:widowControl/>
        <w:overflowPunct w:val="true"/>
        <w:bidi w:val="0"/>
        <w:spacing w:lineRule="auto" w:line="360" w:before="0" w:after="0"/>
        <w:ind w:left="0" w:right="0" w:hanging="0"/>
        <w:jc w:val="both"/>
        <w:rPr/>
      </w:pPr>
      <w:r>
        <w:rPr>
          <w:rFonts w:eastAsia="Calibri" w:cs="Times New Roman" w:ascii="Times New Roman" w:hAnsi="Times New Roman"/>
          <w:b w:val="false"/>
          <w:bCs w:val="false"/>
          <w:color w:val="000000"/>
          <w:sz w:val="28"/>
          <w:szCs w:val="28"/>
          <w:lang w:val="uk-UA" w:eastAsia="en-US" w:bidi="ar-SA"/>
        </w:rPr>
        <w:t>РОЗДІЛ 3. ОКРЕМІ АСПЕКТІ ВИЗНАЧЕННЯ ЮРИСДИКЦІЇ       АДМІНІСТРАТИВНИХ СУДІВ...........................................................................</w:t>
      </w:r>
      <w:r>
        <w:rPr>
          <w:rFonts w:eastAsia="Calibri" w:cs="Times New Roman" w:ascii="Times New Roman" w:hAnsi="Times New Roman"/>
          <w:b w:val="false"/>
          <w:bCs w:val="false"/>
          <w:color w:val="000000"/>
          <w:sz w:val="28"/>
          <w:szCs w:val="28"/>
          <w:lang w:val="uk-UA" w:eastAsia="en-US" w:bidi="ar-SA"/>
        </w:rPr>
        <w:t>32</w:t>
      </w:r>
    </w:p>
    <w:p>
      <w:pPr>
        <w:pStyle w:val="Normal"/>
        <w:widowControl/>
        <w:overflowPunct w:val="true"/>
        <w:bidi w:val="0"/>
        <w:spacing w:lineRule="auto" w:line="360" w:before="0" w:after="0"/>
        <w:ind w:left="0" w:right="0" w:hanging="0"/>
        <w:jc w:val="both"/>
        <w:rPr/>
      </w:pPr>
      <w:r>
        <w:rPr>
          <w:rFonts w:eastAsia="Calibri" w:cs="Times New Roman" w:ascii="Times New Roman" w:hAnsi="Times New Roman"/>
          <w:b w:val="false"/>
          <w:bCs w:val="false"/>
          <w:color w:val="000000"/>
          <w:sz w:val="28"/>
          <w:szCs w:val="28"/>
          <w:lang w:val="uk-UA" w:eastAsia="en-US" w:bidi="ar-SA"/>
        </w:rPr>
        <w:t xml:space="preserve">3.1 </w:t>
      </w:r>
      <w:r>
        <w:rPr>
          <w:rStyle w:val="Style14"/>
          <w:rFonts w:eastAsia="Calibri" w:cs="Times New Roman" w:ascii="Times New Roman" w:hAnsi="Times New Roman"/>
          <w:b w:val="false"/>
          <w:bCs w:val="false"/>
          <w:color w:val="000000"/>
          <w:sz w:val="28"/>
          <w:szCs w:val="28"/>
          <w:lang w:val="uk-UA" w:eastAsia="en-US" w:bidi="ar-SA"/>
        </w:rPr>
        <w:t>Проблеми розмежування адміністративної і конституційної юрисдикцій.............................................................................................................</w:t>
      </w:r>
      <w:r>
        <w:rPr>
          <w:rStyle w:val="Style14"/>
          <w:rFonts w:eastAsia="Calibri" w:cs="Times New Roman" w:ascii="Times New Roman" w:hAnsi="Times New Roman"/>
          <w:b w:val="false"/>
          <w:bCs w:val="false"/>
          <w:color w:val="000000"/>
          <w:sz w:val="28"/>
          <w:szCs w:val="28"/>
          <w:lang w:val="uk-UA" w:eastAsia="en-US" w:bidi="ar-SA"/>
        </w:rPr>
        <w:t>32</w:t>
      </w:r>
    </w:p>
    <w:p>
      <w:pPr>
        <w:pStyle w:val="Normal"/>
        <w:widowControl/>
        <w:overflowPunct w:val="true"/>
        <w:bidi w:val="0"/>
        <w:spacing w:lineRule="auto" w:line="360" w:before="0" w:after="0"/>
        <w:ind w:left="0" w:right="0" w:hanging="0"/>
        <w:jc w:val="both"/>
        <w:rPr/>
      </w:pPr>
      <w:r>
        <w:rPr>
          <w:rFonts w:eastAsia="Calibri" w:cs="Times New Roman" w:ascii="Times New Roman" w:hAnsi="Times New Roman"/>
          <w:b w:val="false"/>
          <w:bCs w:val="false"/>
          <w:color w:val="000000"/>
          <w:sz w:val="28"/>
          <w:szCs w:val="28"/>
          <w:lang w:val="uk-UA" w:eastAsia="en-US" w:bidi="ar-SA"/>
        </w:rPr>
        <w:t xml:space="preserve">3.2 </w:t>
      </w:r>
      <w:r>
        <w:rPr>
          <w:rStyle w:val="Style14"/>
          <w:rFonts w:eastAsia="Calibri" w:cs="Times New Roman" w:ascii="Times New Roman" w:hAnsi="Times New Roman"/>
          <w:b w:val="false"/>
          <w:bCs w:val="false"/>
          <w:i w:val="false"/>
          <w:iCs w:val="false"/>
          <w:color w:val="000000"/>
          <w:sz w:val="28"/>
          <w:szCs w:val="28"/>
          <w:lang w:val="uk-UA" w:eastAsia="en-US" w:bidi="ar-SA"/>
        </w:rPr>
        <w:t xml:space="preserve">    </w:t>
      </w:r>
      <w:r>
        <w:rPr>
          <w:rStyle w:val="Style14"/>
          <w:rFonts w:eastAsia="Calibri" w:cs="Times New Roman" w:ascii="Times New Roman" w:hAnsi="Times New Roman"/>
          <w:b w:val="false"/>
          <w:bCs w:val="false"/>
          <w:i w:val="false"/>
          <w:iCs w:val="false"/>
          <w:color w:val="000000"/>
          <w:sz w:val="28"/>
          <w:szCs w:val="28"/>
          <w:lang w:val="uk-UA" w:eastAsia="en-US" w:bidi="ar-SA"/>
        </w:rPr>
        <w:t>Р</w:t>
      </w:r>
      <w:r>
        <w:rPr>
          <w:rStyle w:val="Style14"/>
          <w:rFonts w:eastAsia="Calibri" w:cs="Times New Roman" w:ascii="Times New Roman" w:hAnsi="Times New Roman"/>
          <w:b w:val="false"/>
          <w:bCs w:val="false"/>
          <w:i w:val="false"/>
          <w:iCs w:val="false"/>
          <w:color w:val="000000"/>
          <w:sz w:val="28"/>
          <w:szCs w:val="28"/>
          <w:lang w:val="uk-UA" w:eastAsia="en-US" w:bidi="ar-SA"/>
        </w:rPr>
        <w:t xml:space="preserve">озмежуванн </w:t>
      </w:r>
      <w:r>
        <w:rPr>
          <w:rStyle w:val="Style14"/>
          <w:rFonts w:eastAsia="Calibri" w:cs="Times New Roman" w:ascii="Times New Roman" w:hAnsi="Times New Roman"/>
          <w:b w:val="false"/>
          <w:bCs w:val="false"/>
          <w:i w:val="false"/>
          <w:iCs w:val="false"/>
          <w:color w:val="000000"/>
          <w:sz w:val="28"/>
          <w:szCs w:val="28"/>
          <w:lang w:val="uk-UA" w:eastAsia="en-US" w:bidi="ar-SA"/>
        </w:rPr>
        <w:t>а</w:t>
      </w:r>
      <w:r>
        <w:rPr>
          <w:rStyle w:val="Style14"/>
          <w:rFonts w:eastAsia="Calibri" w:cs="Times New Roman" w:ascii="Times New Roman" w:hAnsi="Times New Roman"/>
          <w:b w:val="false"/>
          <w:bCs w:val="false"/>
          <w:i w:val="false"/>
          <w:iCs w:val="false"/>
          <w:color w:val="000000"/>
          <w:sz w:val="28"/>
          <w:szCs w:val="28"/>
          <w:lang w:val="uk-UA" w:eastAsia="en-US" w:bidi="ar-SA"/>
        </w:rPr>
        <w:t>дміністративн</w:t>
      </w:r>
      <w:r>
        <w:rPr>
          <w:rStyle w:val="Style14"/>
          <w:rFonts w:eastAsia="Calibri" w:cs="Times New Roman" w:ascii="Times New Roman" w:hAnsi="Times New Roman"/>
          <w:b w:val="false"/>
          <w:bCs w:val="false"/>
          <w:i w:val="false"/>
          <w:iCs w:val="false"/>
          <w:color w:val="000000"/>
          <w:sz w:val="28"/>
          <w:szCs w:val="28"/>
          <w:lang w:val="uk-UA" w:eastAsia="en-US" w:bidi="ar-SA"/>
        </w:rPr>
        <w:t>ої</w:t>
      </w:r>
      <w:r>
        <w:rPr>
          <w:rStyle w:val="Style14"/>
          <w:rFonts w:eastAsia="Calibri" w:cs="Times New Roman" w:ascii="Times New Roman" w:hAnsi="Times New Roman"/>
          <w:b w:val="false"/>
          <w:bCs w:val="false"/>
          <w:i w:val="false"/>
          <w:iCs w:val="false"/>
          <w:color w:val="000000"/>
          <w:sz w:val="28"/>
          <w:szCs w:val="28"/>
          <w:lang w:val="uk-UA" w:eastAsia="en-US" w:bidi="ar-SA"/>
        </w:rPr>
        <w:t xml:space="preserve"> і </w:t>
      </w:r>
      <w:r>
        <w:rPr>
          <w:rStyle w:val="Style14"/>
          <w:rFonts w:eastAsia="Calibri" w:cs="Times New Roman" w:ascii="Times New Roman" w:hAnsi="Times New Roman"/>
          <w:b w:val="false"/>
          <w:bCs w:val="false"/>
          <w:i w:val="false"/>
          <w:iCs w:val="false"/>
          <w:color w:val="000000"/>
          <w:sz w:val="28"/>
          <w:szCs w:val="28"/>
          <w:lang w:val="uk-UA" w:eastAsia="en-US" w:bidi="ar-SA"/>
        </w:rPr>
        <w:t>господарської</w:t>
      </w:r>
      <w:r>
        <w:rPr>
          <w:rStyle w:val="Style14"/>
          <w:rFonts w:eastAsia="Calibri" w:cs="Times New Roman" w:ascii="Times New Roman" w:hAnsi="Times New Roman"/>
          <w:b w:val="false"/>
          <w:bCs w:val="false"/>
          <w:i w:val="false"/>
          <w:iCs w:val="false"/>
          <w:color w:val="000000"/>
          <w:sz w:val="28"/>
          <w:szCs w:val="28"/>
          <w:lang w:val="uk-UA" w:eastAsia="en-US" w:bidi="ar-SA"/>
        </w:rPr>
        <w:t xml:space="preserve"> юрисдик</w:t>
      </w:r>
      <w:r>
        <w:rPr>
          <w:rStyle w:val="Style14"/>
          <w:rFonts w:eastAsia="Calibri" w:cs="Times New Roman" w:ascii="Times New Roman" w:hAnsi="Times New Roman"/>
          <w:b w:val="false"/>
          <w:bCs w:val="false"/>
          <w:i w:val="false"/>
          <w:iCs w:val="false"/>
          <w:color w:val="000000"/>
          <w:sz w:val="28"/>
          <w:szCs w:val="28"/>
          <w:lang w:val="uk-UA" w:eastAsia="en-US" w:bidi="ar-SA"/>
        </w:rPr>
        <w:t>ц</w:t>
      </w:r>
      <w:r>
        <w:rPr>
          <w:rStyle w:val="Style14"/>
          <w:rFonts w:eastAsia="Calibri" w:cs="Times New Roman" w:ascii="Times New Roman" w:hAnsi="Times New Roman"/>
          <w:b w:val="false"/>
          <w:bCs w:val="false"/>
          <w:i w:val="false"/>
          <w:iCs w:val="false"/>
          <w:color w:val="000000"/>
          <w:sz w:val="28"/>
          <w:szCs w:val="28"/>
          <w:lang w:val="uk-UA" w:eastAsia="en-US" w:bidi="ar-SA"/>
        </w:rPr>
        <w:t>ії...................</w:t>
      </w:r>
      <w:r>
        <w:rPr>
          <w:rStyle w:val="Style14"/>
          <w:rFonts w:eastAsia="Calibri" w:cs="Times New Roman" w:ascii="Times New Roman" w:hAnsi="Times New Roman"/>
          <w:b w:val="false"/>
          <w:bCs w:val="false"/>
          <w:i w:val="false"/>
          <w:iCs w:val="false"/>
          <w:color w:val="000000"/>
          <w:sz w:val="28"/>
          <w:szCs w:val="28"/>
          <w:lang w:val="uk-UA" w:eastAsia="en-US" w:bidi="ar-SA"/>
        </w:rPr>
        <w:t>38</w:t>
      </w:r>
      <w:r>
        <w:rPr>
          <w:rStyle w:val="Style14"/>
          <w:rFonts w:eastAsia="Calibri" w:cs="Times New Roman" w:ascii="Times New Roman" w:hAnsi="Times New Roman"/>
          <w:b w:val="false"/>
          <w:bCs w:val="false"/>
          <w:i w:val="false"/>
          <w:iCs w:val="false"/>
          <w:color w:val="000000"/>
          <w:sz w:val="28"/>
          <w:szCs w:val="28"/>
          <w:lang w:val="uk-UA" w:eastAsia="en-US" w:bidi="ar-SA"/>
        </w:rPr>
        <w:t xml:space="preserve"> </w:t>
      </w:r>
    </w:p>
    <w:p>
      <w:pPr>
        <w:pStyle w:val="ListParagraph"/>
        <w:tabs>
          <w:tab w:val="left" w:pos="6480" w:leader="none"/>
        </w:tabs>
        <w:spacing w:lineRule="auto" w:line="360"/>
        <w:ind w:left="0" w:hanging="0"/>
        <w:jc w:val="both"/>
        <w:rPr/>
      </w:pPr>
      <w:r>
        <w:rPr>
          <w:rFonts w:eastAsia="" w:cs="Times New Roman" w:ascii="Times New Roman" w:hAnsi="Times New Roman" w:eastAsiaTheme="minorEastAsia"/>
          <w:color w:val="00000A"/>
          <w:sz w:val="28"/>
          <w:szCs w:val="28"/>
          <w:lang w:val="uk-UA" w:eastAsia="ru-RU" w:bidi="ar-SA"/>
        </w:rPr>
        <w:t>ВИСНОВКИ..........................................................................................................</w:t>
      </w:r>
      <w:r>
        <w:rPr>
          <w:rFonts w:eastAsia="" w:cs="Times New Roman" w:ascii="Times New Roman" w:hAnsi="Times New Roman" w:eastAsiaTheme="minorEastAsia"/>
          <w:color w:val="00000A"/>
          <w:sz w:val="28"/>
          <w:szCs w:val="28"/>
          <w:lang w:val="uk-UA" w:eastAsia="ru-RU" w:bidi="ar-SA"/>
        </w:rPr>
        <w:t>44</w:t>
      </w:r>
    </w:p>
    <w:p>
      <w:pPr>
        <w:pStyle w:val="ListParagraph"/>
        <w:widowControl/>
        <w:tabs>
          <w:tab w:val="left" w:pos="6480" w:leader="none"/>
        </w:tabs>
        <w:overflowPunct w:val="true"/>
        <w:bidi w:val="0"/>
        <w:spacing w:lineRule="auto" w:line="360" w:before="0" w:after="0"/>
        <w:ind w:left="0" w:hanging="0"/>
        <w:jc w:val="both"/>
        <w:rPr>
          <w:rFonts w:ascii="Times New Roman" w:hAnsi="Times New Roman" w:eastAsia="Calibri" w:cs="Times New Roman"/>
          <w:b w:val="false"/>
          <w:b w:val="false"/>
          <w:bCs w:val="false"/>
          <w:color w:val="000000"/>
          <w:sz w:val="28"/>
          <w:szCs w:val="28"/>
          <w:lang w:val="uk-UA" w:eastAsia="en-US" w:bidi="ar-SA"/>
        </w:rPr>
      </w:pPr>
      <w:r>
        <w:rPr>
          <w:rFonts w:eastAsia="" w:cs="Times New Roman" w:ascii="Times New Roman" w:hAnsi="Times New Roman" w:eastAsiaTheme="minorEastAsia"/>
          <w:b w:val="false"/>
          <w:bCs w:val="false"/>
          <w:color w:val="00000A"/>
          <w:sz w:val="28"/>
          <w:szCs w:val="28"/>
          <w:lang w:val="uk-UA" w:eastAsia="ru-RU" w:bidi="ar-SA"/>
        </w:rPr>
        <w:t>СПИСОК ВИКОРИСТАНИХ ДЖЕРЕЛ..............................................................</w:t>
      </w:r>
      <w:r>
        <w:rPr>
          <w:rFonts w:eastAsia="" w:cs="Times New Roman" w:ascii="Times New Roman" w:hAnsi="Times New Roman" w:eastAsiaTheme="minorEastAsia"/>
          <w:b w:val="false"/>
          <w:bCs w:val="false"/>
          <w:color w:val="00000A"/>
          <w:sz w:val="28"/>
          <w:szCs w:val="28"/>
          <w:lang w:val="uk-UA" w:eastAsia="ru-RU" w:bidi="ar-SA"/>
        </w:rPr>
        <w:t>46</w:t>
      </w:r>
    </w:p>
    <w:p>
      <w:pPr>
        <w:pStyle w:val="Normal"/>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r>
    </w:p>
    <w:p>
      <w:pPr>
        <w:pStyle w:val="Style17"/>
        <w:widowControl/>
        <w:overflowPunct w:val="true"/>
        <w:bidi w:val="0"/>
        <w:spacing w:lineRule="auto" w:line="360" w:before="0" w:after="0"/>
        <w:ind w:left="0" w:right="0" w:firstLine="680"/>
        <w:jc w:val="center"/>
        <w:rPr/>
      </w:pPr>
      <w:r>
        <w:rPr>
          <w:rFonts w:eastAsia="Calibri" w:cs="Times New Roman" w:ascii="Times New Roman" w:hAnsi="Times New Roman"/>
          <w:b/>
          <w:bCs/>
          <w:color w:val="000000"/>
          <w:sz w:val="28"/>
          <w:szCs w:val="28"/>
          <w:lang w:val="uk-UA" w:eastAsia="en-US" w:bidi="ar-SA"/>
        </w:rPr>
        <w:t xml:space="preserve">ВСТУП                </w:t>
      </w:r>
    </w:p>
    <w:p>
      <w:pPr>
        <w:pStyle w:val="Style17"/>
        <w:widowControl/>
        <w:overflowPunct w:val="true"/>
        <w:bidi w:val="0"/>
        <w:spacing w:lineRule="auto" w:line="360" w:before="0" w:after="0"/>
        <w:ind w:left="0" w:right="0" w:firstLine="680"/>
        <w:jc w:val="center"/>
        <w:rPr/>
      </w:pPr>
      <w:r>
        <w:rPr>
          <w:rFonts w:eastAsia="Calibri" w:cs="Times New Roman" w:ascii="Times New Roman" w:hAnsi="Times New Roman"/>
          <w:b/>
          <w:bCs/>
          <w:color w:val="000000"/>
          <w:sz w:val="28"/>
          <w:szCs w:val="28"/>
          <w:lang w:val="uk-UA" w:eastAsia="en-US" w:bidi="ar-SA"/>
        </w:rPr>
        <w:t xml:space="preserve">     </w:t>
      </w:r>
    </w:p>
    <w:p>
      <w:pPr>
        <w:pStyle w:val="Style17"/>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t xml:space="preserve">Конституцією України передбачено, що всі правовідносини в нашій державі забезпечуються судовим захистом та кожному гарантовано право на оскарження в суді рішень, дій чи бездіяльності органів державної влади, органів місцевого самоврядування, їх посадових і службових осіб. </w:t>
        <w:br/>
        <w:t>У сучасному суспільстві будь-які відносини мають потенційну небезпеку перерости у конфлікт, особливо відносини між громадянами та владою. Громадяни позбавлені важелів впливу на владу, а тому в стосунках з нею є беззахисними. Право кожного оскаржувати в суді рішення, дії чи бездіяльність органів державної влади, органів місцевого самоврядування, їхніх посадових і службових осіб є важливою гарантією реалізації конституційного принципу відповідальності держави за свою діяльність перед людиною. Ось чому в сучасних демократичних країнах велике значення для гарантування прав людини у її відносинах з владою надається правовому захисту з боку незалежного й авторитетного органу – суду, перед яким громадяни та адміністрація є рівними.</w:t>
      </w:r>
    </w:p>
    <w:p>
      <w:pPr>
        <w:pStyle w:val="Style17"/>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t>З моменту започаткування судочинства в Україні одними з основних і проблемних питань щодо його здійснення та й взагалі функціонування судочинства в Україні, є відмежування адміністративної юрисдикції від інших юрисдикцій – господарської, конституційної, кримінальної, цивільної та юрисдикції по розгляду спорів про адміністративні правопорушення, а також визначення підсудності спорів адміністративної юрисдикції.</w:t>
      </w:r>
    </w:p>
    <w:p>
      <w:pPr>
        <w:pStyle w:val="Style17"/>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t>Чітке розмежування судових юрисдикцій та правильне визначення адміністративної юрисдикції сприятиме посиленню гарантій забезпечення дотримання принципів законності та реалізації принципу доступності судочинства в адміністративних судах.</w:t>
      </w:r>
    </w:p>
    <w:p>
      <w:pPr>
        <w:pStyle w:val="Style17"/>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t>У той же час ця задача чіткого розмежування судових юрисдикцій та правильного визначення адміністративної юрисдикції є достатньо складною і її вирішення обумовлює необхідність наукового осмислення, розроблення відповідних методологічних засад.</w:t>
      </w:r>
    </w:p>
    <w:p>
      <w:pPr>
        <w:pStyle w:val="Style17"/>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t>Все це і обумовлює актуальність теми курсової роботи.</w:t>
      </w:r>
    </w:p>
    <w:p>
      <w:pPr>
        <w:pStyle w:val="Style17"/>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t>Мета роботи полягає у розробці методологічних засад розмежування судових юрисдикцій та визначення адміністративної юрисдикції.</w:t>
      </w:r>
    </w:p>
    <w:p>
      <w:pPr>
        <w:pStyle w:val="Style17"/>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t>Для досягнення поставленої мети визначені наступні основні завдання:</w:t>
      </w:r>
    </w:p>
    <w:p>
      <w:pPr>
        <w:pStyle w:val="Style17"/>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t xml:space="preserve">— </w:t>
      </w:r>
      <w:r>
        <w:rPr>
          <w:rFonts w:eastAsia="Calibri" w:cs="Times New Roman" w:ascii="Times New Roman" w:hAnsi="Times New Roman"/>
          <w:b w:val="false"/>
          <w:bCs w:val="false"/>
          <w:color w:val="000000"/>
          <w:sz w:val="28"/>
          <w:szCs w:val="28"/>
          <w:lang w:val="uk-UA" w:eastAsia="en-US" w:bidi="ar-SA"/>
        </w:rPr>
        <w:t>здійснити аналіз сутності адміністративного судочинства в Україні, його ролі у реалізації головного обов’язку держави - утвердження і забезпечення прав і свобод людини;</w:t>
      </w:r>
    </w:p>
    <w:p>
      <w:pPr>
        <w:pStyle w:val="Style17"/>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t xml:space="preserve">— </w:t>
      </w:r>
      <w:r>
        <w:rPr>
          <w:rFonts w:eastAsia="Calibri" w:cs="Times New Roman" w:ascii="Times New Roman" w:hAnsi="Times New Roman"/>
          <w:b w:val="false"/>
          <w:bCs w:val="false"/>
          <w:color w:val="000000"/>
          <w:sz w:val="28"/>
          <w:szCs w:val="28"/>
          <w:lang w:val="uk-UA" w:eastAsia="en-US" w:bidi="ar-SA"/>
        </w:rPr>
        <w:t>проаналізувати завдання адміністративного судочинства через призму реалізації конституційної гарантії демократизації судової влади;</w:t>
      </w:r>
    </w:p>
    <w:p>
      <w:pPr>
        <w:pStyle w:val="Style17"/>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t xml:space="preserve">— </w:t>
      </w:r>
      <w:r>
        <w:rPr>
          <w:rFonts w:eastAsia="Calibri" w:cs="Times New Roman" w:ascii="Times New Roman" w:hAnsi="Times New Roman"/>
          <w:b w:val="false"/>
          <w:bCs w:val="false"/>
          <w:color w:val="000000"/>
          <w:sz w:val="28"/>
          <w:szCs w:val="28"/>
          <w:lang w:val="uk-UA" w:eastAsia="en-US" w:bidi="ar-SA"/>
        </w:rPr>
        <w:t>з’ясувати ознаки публічно-правових спорів, та відокремлення їх від суміжних;</w:t>
      </w:r>
    </w:p>
    <w:p>
      <w:pPr>
        <w:pStyle w:val="Style17"/>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t xml:space="preserve">— </w:t>
      </w:r>
      <w:r>
        <w:rPr>
          <w:rFonts w:eastAsia="Calibri" w:cs="Times New Roman" w:ascii="Times New Roman" w:hAnsi="Times New Roman"/>
          <w:b w:val="false"/>
          <w:bCs w:val="false"/>
          <w:color w:val="000000"/>
          <w:sz w:val="28"/>
          <w:szCs w:val="28"/>
          <w:lang w:val="uk-UA" w:eastAsia="en-US" w:bidi="ar-SA"/>
        </w:rPr>
        <w:t>проаналізувати чинне законодавство в сфері адміністративного судочинства з точки зору розмежування судових юрисдикцій, визначення предмету адміністративної юрисдикції, підсудності спорів, що виникають у сфері публічно-владних відносин, виходячи з завдань забезпечення реалізації принципу доступності адміністративного судочинства;</w:t>
      </w:r>
    </w:p>
    <w:p>
      <w:pPr>
        <w:pStyle w:val="Style17"/>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t xml:space="preserve">— </w:t>
      </w:r>
      <w:r>
        <w:rPr>
          <w:rFonts w:eastAsia="Calibri" w:cs="Times New Roman" w:ascii="Times New Roman" w:hAnsi="Times New Roman"/>
          <w:b w:val="false"/>
          <w:bCs w:val="false"/>
          <w:color w:val="000000"/>
          <w:sz w:val="28"/>
          <w:szCs w:val="28"/>
          <w:lang w:val="uk-UA" w:eastAsia="en-US" w:bidi="ar-SA"/>
        </w:rPr>
        <w:t>провести аналіз норм чинного законодавства України, роз’яснень, що регулюють конституційну, кримінальну, господарську, цивільну та адміністративну юрисдикції, в тому числі визначити основні ознаки спорів, що належать до останньої, виникають із адміністративно-правових відносин;</w:t>
      </w:r>
    </w:p>
    <w:p>
      <w:pPr>
        <w:pStyle w:val="Style17"/>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t>Об’єктом дослідження є суспільні правовідносини, які виникають у зв’язку з запровадженням адміністративного судочинства, розмежуванням судових юрисдикцій, визначенням предмету адміністративної юрисдикції.</w:t>
      </w:r>
    </w:p>
    <w:p>
      <w:pPr>
        <w:pStyle w:val="Style17"/>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t>Предметом дослідження є система законодавчих актів, в т.ч. процесуальних кодексів, Кодекса адміністративного судочинства України, роз’яснень Верховного Суду України , Вищого адміністративного та Вищого господарського судів України, що регулюють адміністративне судочинство взагалі та розмежування судових юрисдикцій зокрема, визначають адміністративну юрисдикцію, практику його застосування, літературні джерела.</w:t>
      </w:r>
    </w:p>
    <w:p>
      <w:pPr>
        <w:pStyle w:val="Style17"/>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t xml:space="preserve">Структура й обсяг роботи. Відповідно до мети, завдань, предмета  дослідження курсова робота складається з вступу, трьох розділів, що містять </w:t>
      </w:r>
      <w:r>
        <w:rPr>
          <w:rFonts w:eastAsia="Calibri" w:cs="Times New Roman" w:ascii="Times New Roman" w:hAnsi="Times New Roman"/>
          <w:b w:val="false"/>
          <w:bCs w:val="false"/>
          <w:color w:val="FF0000"/>
          <w:sz w:val="28"/>
          <w:szCs w:val="28"/>
          <w:lang w:val="uk-UA" w:eastAsia="en-US" w:bidi="ar-SA"/>
        </w:rPr>
        <w:t>сім</w:t>
      </w:r>
      <w:r>
        <w:rPr>
          <w:rFonts w:eastAsia="Calibri" w:cs="Times New Roman" w:ascii="Times New Roman" w:hAnsi="Times New Roman"/>
          <w:b w:val="false"/>
          <w:bCs w:val="false"/>
          <w:color w:val="000000"/>
          <w:sz w:val="28"/>
          <w:szCs w:val="28"/>
          <w:lang w:val="uk-UA" w:eastAsia="en-US" w:bidi="ar-SA"/>
        </w:rPr>
        <w:t xml:space="preserve"> підрозділів, висновку та списку використаних джерел.</w:t>
      </w:r>
    </w:p>
    <w:p>
      <w:pPr>
        <w:pStyle w:val="Normal"/>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r>
    </w:p>
    <w:p>
      <w:pPr>
        <w:pStyle w:val="Normal"/>
        <w:widowControl/>
        <w:overflowPunct w:val="true"/>
        <w:bidi w:val="0"/>
        <w:spacing w:lineRule="auto" w:line="360" w:before="0" w:after="0"/>
        <w:ind w:left="0" w:right="0" w:firstLine="680"/>
        <w:jc w:val="center"/>
        <w:rPr>
          <w:b/>
          <w:b/>
          <w:bCs/>
        </w:rPr>
      </w:pPr>
      <w:r>
        <w:rPr>
          <w:rFonts w:eastAsia="Calibri" w:cs="Times New Roman" w:ascii="Times New Roman" w:hAnsi="Times New Roman"/>
          <w:b/>
          <w:bCs/>
          <w:color w:val="000000"/>
          <w:sz w:val="28"/>
          <w:szCs w:val="28"/>
          <w:lang w:val="uk-UA" w:eastAsia="en-US" w:bidi="ar-SA"/>
        </w:rPr>
        <w:t xml:space="preserve">РОЗДІЛ 1. МІСЦЕ І </w:t>
      </w:r>
      <w:r>
        <w:rPr>
          <w:rFonts w:eastAsia="Calibri" w:cs="Times New Roman" w:ascii="Times New Roman" w:hAnsi="Times New Roman"/>
          <w:b/>
          <w:bCs/>
          <w:color w:val="000000"/>
          <w:sz w:val="28"/>
          <w:szCs w:val="28"/>
          <w:lang w:val="uk-UA" w:eastAsia="en-US" w:bidi="ar-SA"/>
        </w:rPr>
        <w:t>ЗНАЧЕННЯ</w:t>
      </w:r>
      <w:r>
        <w:rPr>
          <w:rFonts w:eastAsia="Calibri" w:cs="Times New Roman" w:ascii="Times New Roman" w:hAnsi="Times New Roman"/>
          <w:b/>
          <w:bCs/>
          <w:color w:val="000000"/>
          <w:sz w:val="28"/>
          <w:szCs w:val="28"/>
          <w:lang w:val="uk-UA" w:eastAsia="en-US" w:bidi="ar-SA"/>
        </w:rPr>
        <w:t xml:space="preserve"> АДМІНІСТРАТИВНИХ СУДІВ У ЗАХИСТІ ПРАВ І СВОБОД ЛЮДИНИ</w:t>
      </w:r>
    </w:p>
    <w:p>
      <w:pPr>
        <w:pStyle w:val="Normal"/>
        <w:widowControl/>
        <w:overflowPunct w:val="true"/>
        <w:bidi w:val="0"/>
        <w:spacing w:lineRule="auto" w:line="360" w:before="0" w:after="0"/>
        <w:ind w:left="0" w:right="0" w:firstLine="680"/>
        <w:jc w:val="center"/>
        <w:rPr>
          <w:rFonts w:ascii="Times New Roman" w:hAnsi="Times New Roman" w:eastAsia="Calibri" w:cs="Times New Roman"/>
          <w:color w:val="000000"/>
          <w:sz w:val="28"/>
          <w:szCs w:val="28"/>
          <w:lang w:val="uk-UA" w:eastAsia="en-US" w:bidi="ar-SA"/>
        </w:rPr>
      </w:pPr>
      <w:r>
        <w:rPr>
          <w:b/>
          <w:bCs/>
        </w:rPr>
      </w:r>
    </w:p>
    <w:p>
      <w:pPr>
        <w:pStyle w:val="2"/>
        <w:widowControl/>
        <w:numPr>
          <w:ilvl w:val="0"/>
          <w:numId w:val="0"/>
        </w:numPr>
        <w:overflowPunct w:val="true"/>
        <w:bidi w:val="0"/>
        <w:spacing w:lineRule="auto" w:line="360" w:before="0" w:after="0"/>
        <w:ind w:left="720" w:right="0" w:hanging="0"/>
        <w:jc w:val="both"/>
        <w:rPr>
          <w:b/>
          <w:b/>
          <w:bCs/>
        </w:rPr>
      </w:pPr>
      <w:r>
        <w:rPr>
          <w:rFonts w:eastAsia="Calibri" w:cs="Times New Roman"/>
          <w:b/>
          <w:bCs/>
          <w:color w:val="000000"/>
          <w:sz w:val="28"/>
          <w:szCs w:val="28"/>
          <w:lang w:val="uk-UA" w:eastAsia="en-US" w:bidi="ar-SA"/>
        </w:rPr>
        <w:t>1.1. Основоположні засади організації здійснення правосуддя у системі гарантій прав людини</w:t>
      </w:r>
    </w:p>
    <w:p>
      <w:pPr>
        <w:pStyle w:val="2"/>
        <w:widowControl/>
        <w:numPr>
          <w:ilvl w:val="0"/>
          <w:numId w:val="0"/>
        </w:numPr>
        <w:overflowPunct w:val="true"/>
        <w:bidi w:val="0"/>
        <w:spacing w:lineRule="auto" w:line="360" w:before="0" w:after="0"/>
        <w:ind w:left="720" w:right="0" w:hanging="0"/>
        <w:jc w:val="both"/>
        <w:rPr>
          <w:rFonts w:ascii="Times New Roman" w:hAnsi="Times New Roman" w:eastAsia="Calibri" w:cs="Times New Roman"/>
          <w:color w:val="000000"/>
          <w:sz w:val="28"/>
          <w:szCs w:val="28"/>
          <w:lang w:val="uk-UA" w:eastAsia="en-US" w:bidi="ar-SA"/>
        </w:rPr>
      </w:pPr>
      <w:r>
        <w:rPr>
          <w:b/>
          <w:bCs/>
        </w:rPr>
      </w:r>
    </w:p>
    <w:p>
      <w:pPr>
        <w:pStyle w:val="Style17"/>
        <w:widowControl/>
        <w:overflowPunct w:val="true"/>
        <w:bidi w:val="0"/>
        <w:spacing w:lineRule="auto" w:line="360" w:before="0" w:after="0"/>
        <w:ind w:left="0" w:right="0" w:firstLine="680"/>
        <w:jc w:val="both"/>
        <w:rPr/>
      </w:pPr>
      <w:r>
        <w:rPr>
          <w:rFonts w:eastAsia="Calibri" w:cs="Times New Roman" w:ascii="Times New Roman" w:hAnsi="Times New Roman"/>
          <w:b w:val="false"/>
          <w:bCs w:val="false"/>
          <w:color w:val="000000"/>
          <w:sz w:val="28"/>
          <w:szCs w:val="28"/>
          <w:lang w:val="uk-UA" w:eastAsia="en-US" w:bidi="ar-SA"/>
        </w:rPr>
        <w:t>Згідно з ч. 2 ст. 3 Конституції України права і свободи людини та їх гарантії визначають зміст і спрямованість діяльності держави. Держава відповідає перед людиною за свою діяльність. Утвердження і забезпечення прав і свобод людини є головним обов’язком держави [1].</w:t>
      </w:r>
    </w:p>
    <w:p>
      <w:pPr>
        <w:pStyle w:val="Style17"/>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FF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t xml:space="preserve">Однією з базових гарантій прав і свобод людини і громадянина є можливість їх захисту у незалежному, неупередженому, компетентному судовому органі. Відповідна гарантія закріплена на конституційному рівні у ст. 55 Конституції України, яка означає право кожного звернутися до суду, якщо його права чи свободи порушені або порушуються, створено або створюються перешкоди для їх реалізації або мають місце інші ущемлення прав та свобод. </w:t>
      </w:r>
    </w:p>
    <w:p>
      <w:pPr>
        <w:pStyle w:val="Style17"/>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t xml:space="preserve">Отже, права, свободи та законні інтереси людини і громадянина мають визнаватися тією цінністю, на захист і забезпечення якої спрямована діяльність судової системи України. Адже „захист і розвиток прав людини і основних свобод є ідеалом і цінністю демократичного суспільства” [7]. Реалізація такого ціннісного орієнтиру відбувається через систему вимог, що набувають статус принципів і в яких відображено соціальну значущість судового захисту прав людини. На цих основоположних засадах, що покладені в основу функціонування системи гарантування і захисту прав і свобод людини, має базуватися судова система і здійснення функції правосуддя. </w:t>
      </w:r>
      <w:r>
        <w:rPr>
          <w:rFonts w:eastAsia="Calibri" w:cs="Times New Roman" w:ascii="Times New Roman" w:hAnsi="Times New Roman"/>
          <w:b w:val="false"/>
          <w:bCs w:val="false"/>
          <w:color w:val="000000"/>
          <w:sz w:val="28"/>
          <w:szCs w:val="28"/>
          <w:lang w:val="uk-UA" w:eastAsia="en-US" w:bidi="ar-SA"/>
        </w:rPr>
        <w:t>В цілому слід погодитися з висловлюваною в юридичній літературі думкою, відповідно до якої для адміністративного судочинства цілком зрозумілою є спрямованість принципів на виконання основного завдання – захист прав, свобод та інтересів фізичних осіб, прав та інтересів юридичних осіб у сфері публічно-правових відносин [</w:t>
      </w:r>
      <w:r>
        <w:rPr>
          <w:rFonts w:eastAsia="Calibri" w:cs="Times New Roman" w:ascii="Times New Roman" w:hAnsi="Times New Roman"/>
          <w:b w:val="false"/>
          <w:bCs w:val="false"/>
          <w:color w:val="000000"/>
          <w:sz w:val="28"/>
          <w:szCs w:val="28"/>
          <w:lang w:val="uk-UA" w:eastAsia="en-US" w:bidi="ar-SA"/>
        </w:rPr>
        <w:t>1</w:t>
      </w:r>
      <w:r>
        <w:rPr>
          <w:rFonts w:eastAsia="Calibri" w:cs="Times New Roman" w:ascii="Times New Roman" w:hAnsi="Times New Roman"/>
          <w:b w:val="false"/>
          <w:bCs w:val="false"/>
          <w:color w:val="000000"/>
          <w:sz w:val="28"/>
          <w:szCs w:val="28"/>
          <w:lang w:val="uk-UA" w:eastAsia="en-US" w:bidi="ar-SA"/>
        </w:rPr>
        <w:t xml:space="preserve">8]. </w:t>
      </w:r>
    </w:p>
    <w:p>
      <w:pPr>
        <w:pStyle w:val="Style17"/>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t>Одним з перших міжнародних актів, де були закріплені принципи здійснення правосуддя, стала Загальна декларація прав людини, прийнята Організацією Об'єднаних Націй 10 грудня 1948 р. У цьому акті (статті 7, 8, 10, 11) проголошені універсальні для усіх держав світу принципи правосуддя зокрема, принципи рівності перед законом, презумпції невинуватості і права на справедливий і відкритий судовий розгляд компетентним, незалежним і неупередженим судом, заснованим відповідно до закону. Ці принципи були розвинуті і доповнені положеннями Міжнародного пакту про громадянські та політичні права від 16 грудня 1966 р. (статті 6, 9, 10 та ін.).</w:t>
      </w:r>
    </w:p>
    <w:p>
      <w:pPr>
        <w:pStyle w:val="Style17"/>
        <w:widowControl/>
        <w:overflowPunct w:val="true"/>
        <w:bidi w:val="0"/>
        <w:spacing w:lineRule="auto" w:line="360" w:before="0" w:after="0"/>
        <w:ind w:left="0" w:right="0" w:firstLine="680"/>
        <w:jc w:val="both"/>
        <w:rPr/>
      </w:pPr>
      <w:r>
        <w:rPr>
          <w:rFonts w:eastAsia="Calibri" w:cs="Times New Roman" w:ascii="Times New Roman" w:hAnsi="Times New Roman"/>
          <w:b w:val="false"/>
          <w:bCs w:val="false"/>
          <w:color w:val="000000"/>
          <w:sz w:val="28"/>
          <w:szCs w:val="28"/>
          <w:lang w:val="uk-UA" w:eastAsia="en-US" w:bidi="ar-SA"/>
        </w:rPr>
        <w:t>Значна увага становленню системи правосуддя приділена і на регіональному рівні. Зокрема, для європейських держав, що входять до Ради Європи, таким актом є Конвенція про захист прав людини і основоположних свобод, прийнята у Римі 4 листопада 1950 р., та Протоколи до неї, у тому числі Протокол № 7, а також рішення Європейського суду з прав людини, який наділений правом тлумачення положень Конвенції і Протоколів до неї. Важливе значення на європейському континенті має такий регіональний акт, як Рекомендація № К.(94)12 Кабінету міністрів Ради Європи державам-членам щодо незалежності, дієвості та ролі суддів, прийнята 13 жовтня 1994 року.</w:t>
      </w:r>
    </w:p>
    <w:p>
      <w:pPr>
        <w:pStyle w:val="Style17"/>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t>Ці принципи знаходять відображення й на національному рівні. Особливе значення має принцип верховенства права, який закріплений Конституцією України. Його виключне значення в системі правозахисту тим, що він є гарантією забезпечення прав людини безпосередньо на підставі Основного Закону держави та загальновизнаних міжнародних стандартів. Проте практична реалізація даного принципу нерідко викликає певні труднощі, а тому потребує його конкретизації у галузевому законодавстві, зокрема, у відповідних процесуальних кодексах [11].</w:t>
      </w:r>
    </w:p>
    <w:p>
      <w:pPr>
        <w:pStyle w:val="Style17"/>
        <w:widowControl/>
        <w:overflowPunct w:val="true"/>
        <w:bidi w:val="0"/>
        <w:spacing w:lineRule="auto" w:line="360" w:before="0" w:after="0"/>
        <w:ind w:left="0" w:right="0" w:firstLine="680"/>
        <w:jc w:val="both"/>
        <w:rPr>
          <w:color w:val="000000"/>
        </w:rPr>
      </w:pPr>
      <w:r>
        <w:rPr>
          <w:rFonts w:eastAsia="Calibri" w:cs="Times New Roman" w:ascii="Times New Roman" w:hAnsi="Times New Roman"/>
          <w:b w:val="false"/>
          <w:bCs w:val="false"/>
          <w:color w:val="000000"/>
          <w:sz w:val="28"/>
          <w:szCs w:val="28"/>
          <w:lang w:val="uk-UA" w:eastAsia="en-US" w:bidi="ar-SA"/>
        </w:rPr>
        <w:t>У зв'язку з цим слід зазначити, що принцип верховенства права знайшов своє відображення тільки в Кодексі адміністративного судочинства України.</w:t>
      </w:r>
      <w:r>
        <w:rPr>
          <w:rFonts w:eastAsia="Calibri" w:cs="Times New Roman" w:ascii="Times New Roman" w:hAnsi="Times New Roman"/>
          <w:b w:val="false"/>
          <w:bCs w:val="false"/>
          <w:color w:val="000000"/>
          <w:sz w:val="28"/>
          <w:szCs w:val="28"/>
          <w:lang w:val="uk-UA" w:eastAsia="en-US" w:bidi="ar-SA"/>
        </w:rPr>
        <w:t xml:space="preserve"> </w:t>
      </w:r>
    </w:p>
    <w:p>
      <w:pPr>
        <w:pStyle w:val="Style17"/>
        <w:widowControl/>
        <w:overflowPunct w:val="true"/>
        <w:bidi w:val="0"/>
        <w:spacing w:lineRule="auto" w:line="360" w:before="0" w:after="0"/>
        <w:ind w:left="0" w:right="0" w:firstLine="680"/>
        <w:jc w:val="both"/>
        <w:rPr>
          <w:color w:val="000000"/>
        </w:rPr>
      </w:pPr>
      <w:r>
        <w:rPr>
          <w:rFonts w:eastAsia="Calibri" w:cs="Times New Roman" w:ascii="Times New Roman" w:hAnsi="Times New Roman"/>
          <w:b w:val="false"/>
          <w:bCs w:val="false"/>
          <w:color w:val="000000"/>
          <w:sz w:val="28"/>
          <w:szCs w:val="28"/>
          <w:lang w:val="uk-UA" w:eastAsia="en-US" w:bidi="ar-SA"/>
        </w:rPr>
        <w:t>Досвід багатьох європейських країн свідчить про те, що система адміністративних судів швидко реагує та ефективно вирішує спори, які виникають у сфері публічно-правових відносин.</w:t>
      </w:r>
    </w:p>
    <w:p>
      <w:pPr>
        <w:pStyle w:val="Style17"/>
        <w:widowControl/>
        <w:overflowPunct w:val="true"/>
        <w:bidi w:val="0"/>
        <w:spacing w:lineRule="auto" w:line="360" w:before="0" w:after="0"/>
        <w:ind w:left="0" w:right="0" w:firstLine="680"/>
        <w:jc w:val="both"/>
        <w:rPr>
          <w:color w:val="000000"/>
        </w:rPr>
      </w:pPr>
      <w:r>
        <w:rPr>
          <w:rFonts w:eastAsia="Calibri" w:cs="Times New Roman" w:ascii="Times New Roman" w:hAnsi="Times New Roman"/>
          <w:b w:val="false"/>
          <w:bCs w:val="false"/>
          <w:color w:val="000000"/>
          <w:sz w:val="28"/>
          <w:szCs w:val="28"/>
          <w:lang w:val="uk-UA" w:eastAsia="en-US" w:bidi="ar-SA"/>
        </w:rPr>
        <w:t>Відповідно до Кодексу адміністративного судочинства України завданням адміністративного судочинства є захист прав, свобод та інтересів фізичних осіб, прав та інтересів юридичних осіб у сфері публічно-правових відносин від порушень з боку органів державної влади, органів місцевого самоврядування, їхніх посадових і службових осіб, інших суб’єктів при здійсненні ними владних управлінських функцій на основі законодавства, в тому числі на виконання делегованих повноважень.</w:t>
      </w:r>
    </w:p>
    <w:p>
      <w:pPr>
        <w:pStyle w:val="Style17"/>
        <w:widowControl/>
        <w:overflowPunct w:val="true"/>
        <w:bidi w:val="0"/>
        <w:spacing w:lineRule="auto" w:line="360" w:before="0" w:after="0"/>
        <w:ind w:left="0" w:right="0" w:firstLine="680"/>
        <w:jc w:val="both"/>
        <w:rPr/>
      </w:pPr>
      <w:r>
        <w:rPr>
          <w:rFonts w:eastAsia="Calibri" w:cs="Times New Roman" w:ascii="Times New Roman" w:hAnsi="Times New Roman"/>
          <w:b w:val="false"/>
          <w:bCs w:val="false"/>
          <w:color w:val="000000"/>
          <w:sz w:val="28"/>
          <w:szCs w:val="28"/>
          <w:lang w:val="uk-UA" w:eastAsia="en-US" w:bidi="ar-SA"/>
        </w:rPr>
        <w:t>Особі, якій необхідний судовий захист, зазвичай, протидіє потужний адміністративний апарат в адміністративному процесі. У сторін можуть складатися різні початкові можливості тому, щоб урівноважити їх, адміністративний суд виступає активним учасником у захисті прав, свобод чи інтересів людини. Вживаючи усі заходи, передбачені законом, адміністративний суд стоїть на захисті прав людини та громадянина від порушень суб’єктів владних повноважень. Як правило конфлікти з’являються з вини публічної адміністрації, яка зловживає владою або виявляє бюрократизм та некомпетентність, що змушує особу звернутися до суду, оскільки адміністрація не вжила необхідних заходів для їх запобігання чи свідомо призвела до порушення прав та інтересів громадян. Це може виявлятись у створенні перешкод у реалізації прав чи задоволенні інтересів людини або громадянина, у позбавленні (обмеженні) можливості користуватись певним соціальним благом.</w:t>
      </w:r>
    </w:p>
    <w:p>
      <w:pPr>
        <w:pStyle w:val="Style17"/>
        <w:widowControl/>
        <w:overflowPunct w:val="true"/>
        <w:bidi w:val="0"/>
        <w:spacing w:lineRule="auto" w:line="360" w:before="0" w:after="0"/>
        <w:ind w:left="0" w:right="0" w:firstLine="680"/>
        <w:jc w:val="both"/>
        <w:rPr>
          <w:color w:val="000000"/>
        </w:rPr>
      </w:pPr>
      <w:r>
        <w:rPr>
          <w:rFonts w:eastAsia="Calibri" w:cs="Times New Roman" w:ascii="Times New Roman" w:hAnsi="Times New Roman"/>
          <w:b w:val="false"/>
          <w:bCs w:val="false"/>
          <w:color w:val="000000"/>
          <w:sz w:val="28"/>
          <w:szCs w:val="28"/>
          <w:lang w:val="uk-UA" w:eastAsia="en-US" w:bidi="ar-SA"/>
        </w:rPr>
        <w:t>Адміністративне судочинство як форма захисту, є одним з ефективних способів зобов’язати суб’єкти владних повноважень вчинити певні дії або утриматись від них, замість довгочасного та безрезультатного листування та оскарження.</w:t>
      </w:r>
    </w:p>
    <w:p>
      <w:pPr>
        <w:pStyle w:val="Style17"/>
        <w:widowControl/>
        <w:overflowPunct w:val="true"/>
        <w:bidi w:val="0"/>
        <w:spacing w:lineRule="auto" w:line="360" w:before="0" w:after="0"/>
        <w:ind w:left="0" w:right="0" w:firstLine="680"/>
        <w:jc w:val="both"/>
        <w:rPr>
          <w:color w:val="000000"/>
        </w:rPr>
      </w:pPr>
      <w:r>
        <w:rPr>
          <w:rFonts w:eastAsia="Calibri" w:cs="Times New Roman" w:ascii="Times New Roman" w:hAnsi="Times New Roman"/>
          <w:b w:val="false"/>
          <w:bCs w:val="false"/>
          <w:color w:val="000000"/>
          <w:sz w:val="28"/>
          <w:szCs w:val="28"/>
          <w:lang w:val="uk-UA" w:eastAsia="en-US" w:bidi="ar-SA"/>
        </w:rPr>
        <w:t>Положення Кодексу адміністративного судочинства України закріплюють захист не будь-якого інтересу, а саме правового, чи інакше – законного. Конституційний Суд України у рішенні № 18-рп/2004 від 01.12.2004 визначив його як “прагнення до користування конкретним матеріальним та/або нематеріальним благом, як зумовлений загальним змістом об’єктивного і прямо не опосередкований у суб’єктивному праві простий легітимний дозвіл, що є самостійним об’єктом судового захисту та інших засобів правової охорони з метою задоволення індивідуальних і колективних потреб, які не суперечать Конституції і законам України, суспільним інтересам, справедливості, добросовісності, розумності та іншим загальноправовим засадам”.</w:t>
      </w:r>
    </w:p>
    <w:p>
      <w:pPr>
        <w:pStyle w:val="Style17"/>
        <w:widowControl/>
        <w:overflowPunct w:val="true"/>
        <w:bidi w:val="0"/>
        <w:spacing w:lineRule="auto" w:line="360" w:before="0" w:after="0"/>
        <w:ind w:left="0" w:right="0" w:firstLine="680"/>
        <w:jc w:val="both"/>
        <w:rPr>
          <w:color w:val="000000"/>
        </w:rPr>
      </w:pPr>
      <w:r>
        <w:rPr>
          <w:rFonts w:eastAsia="Calibri" w:cs="Times New Roman" w:ascii="Times New Roman" w:hAnsi="Times New Roman"/>
          <w:b w:val="false"/>
          <w:bCs w:val="false"/>
          <w:color w:val="000000"/>
          <w:sz w:val="28"/>
          <w:szCs w:val="28"/>
          <w:lang w:val="uk-UA" w:eastAsia="en-US" w:bidi="ar-SA"/>
        </w:rPr>
        <w:t>Тобто можна зробити висновок, що метою судового захисту порушеного права є вирішення між сторонами правового конфлікту, припинення публічно-правового спору та використання дієвого способу захисту (відновлення) порушеного права.</w:t>
      </w:r>
    </w:p>
    <w:p>
      <w:pPr>
        <w:pStyle w:val="Style17"/>
        <w:widowControl/>
        <w:overflowPunct w:val="true"/>
        <w:bidi w:val="0"/>
        <w:spacing w:lineRule="auto" w:line="360" w:before="0" w:after="0"/>
        <w:ind w:left="0" w:right="0" w:firstLine="680"/>
        <w:jc w:val="both"/>
        <w:rPr>
          <w:color w:val="000000"/>
        </w:rPr>
      </w:pPr>
      <w:r>
        <w:rPr>
          <w:rFonts w:eastAsia="Calibri" w:cs="Times New Roman" w:ascii="Times New Roman" w:hAnsi="Times New Roman"/>
          <w:b w:val="false"/>
          <w:bCs w:val="false"/>
          <w:color w:val="000000"/>
          <w:sz w:val="28"/>
          <w:szCs w:val="28"/>
          <w:lang w:val="uk-UA" w:eastAsia="en-US" w:bidi="ar-SA"/>
        </w:rPr>
        <w:t xml:space="preserve">Отже, адміністративне судочинство з урахуванням концепції людиноцентризму спрямоване на зміцнення законності, правопорядку тапопередження правопорушень, а також сприяє активному та ініціативному виявленню порушень прав, свобод та інтересів осіб з боку влади та поновлення цих прав чи запобігання їх порушенню. </w:t>
      </w:r>
    </w:p>
    <w:p>
      <w:pPr>
        <w:pStyle w:val="Style17"/>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sz w:val="28"/>
          <w:szCs w:val="28"/>
          <w:lang w:val="uk-UA" w:eastAsia="en-US" w:bidi="ar-SA"/>
        </w:rPr>
      </w:pPr>
      <w:r>
        <w:rPr>
          <w:color w:val="000000"/>
        </w:rPr>
      </w:r>
    </w:p>
    <w:p>
      <w:pPr>
        <w:pStyle w:val="Normal"/>
        <w:widowControl/>
        <w:overflowPunct w:val="true"/>
        <w:bidi w:val="0"/>
        <w:spacing w:lineRule="auto" w:line="360" w:before="0" w:after="0"/>
        <w:ind w:left="0" w:right="0" w:firstLine="680"/>
        <w:jc w:val="both"/>
        <w:rPr>
          <w:b/>
          <w:b/>
          <w:bCs/>
          <w:color w:val="000000"/>
        </w:rPr>
      </w:pPr>
      <w:r>
        <w:rPr>
          <w:rFonts w:eastAsia="Calibri" w:cs="Times New Roman" w:ascii="Times New Roman" w:hAnsi="Times New Roman"/>
          <w:b/>
          <w:bCs/>
          <w:color w:val="000000"/>
          <w:sz w:val="28"/>
          <w:szCs w:val="28"/>
          <w:lang w:val="uk-UA" w:eastAsia="en-US" w:bidi="ar-SA"/>
        </w:rPr>
        <w:t>1.2</w:t>
      </w:r>
      <w:r>
        <w:rPr>
          <w:rFonts w:eastAsia="Calibri" w:cs="Times New Roman" w:ascii="Times New Roman" w:hAnsi="Times New Roman"/>
          <w:b/>
          <w:bCs/>
          <w:i w:val="false"/>
          <w:iCs w:val="false"/>
          <w:color w:val="000000"/>
          <w:sz w:val="28"/>
          <w:szCs w:val="28"/>
          <w:lang w:val="uk-UA" w:eastAsia="en-US" w:bidi="ar-SA"/>
        </w:rPr>
        <w:t xml:space="preserve">  Поняття судів загальної юрисдикції та їх види</w:t>
      </w:r>
    </w:p>
    <w:p>
      <w:pPr>
        <w:pStyle w:val="Normal"/>
        <w:widowControl/>
        <w:overflowPunct w:val="true"/>
        <w:bidi w:val="0"/>
        <w:spacing w:lineRule="auto" w:line="360" w:before="0" w:after="0"/>
        <w:ind w:left="0" w:right="0" w:firstLine="680"/>
        <w:jc w:val="both"/>
        <w:rPr>
          <w:rFonts w:ascii="Times New Roman" w:hAnsi="Times New Roman" w:eastAsia="Calibri" w:cs="Times New Roman"/>
          <w:i w:val="false"/>
          <w:i w:val="false"/>
          <w:iCs w:val="false"/>
          <w:sz w:val="28"/>
          <w:szCs w:val="28"/>
          <w:lang w:val="uk-UA" w:eastAsia="en-US" w:bidi="ar-SA"/>
        </w:rPr>
      </w:pPr>
      <w:r>
        <w:rPr>
          <w:b/>
          <w:bCs/>
          <w:color w:val="000000"/>
        </w:rPr>
      </w:r>
    </w:p>
    <w:p>
      <w:pPr>
        <w:pStyle w:val="Style17"/>
        <w:widowControl/>
        <w:overflowPunct w:val="true"/>
        <w:bidi w:val="0"/>
        <w:spacing w:lineRule="auto" w:line="360" w:before="0" w:after="0"/>
        <w:ind w:left="0" w:right="0" w:firstLine="680"/>
        <w:jc w:val="both"/>
        <w:rPr/>
      </w:pPr>
      <w:r>
        <w:rPr>
          <w:rFonts w:eastAsia="Calibri" w:cs="Times New Roman" w:ascii="Times New Roman" w:hAnsi="Times New Roman"/>
          <w:b w:val="false"/>
          <w:bCs w:val="false"/>
          <w:color w:val="000000"/>
          <w:sz w:val="28"/>
          <w:szCs w:val="28"/>
          <w:lang w:val="uk-UA" w:eastAsia="en-US" w:bidi="ar-SA"/>
        </w:rPr>
        <w:t>Важливу роль у суспільстві та державі відіграють суди, покликані здійснювати правосуддя і бути важливим елементом стримувань і противаг між гілками влади.</w:t>
      </w:r>
    </w:p>
    <w:p>
      <w:pPr>
        <w:pStyle w:val="Style17"/>
        <w:widowControl/>
        <w:overflowPunct w:val="true"/>
        <w:bidi w:val="0"/>
        <w:spacing w:lineRule="auto" w:line="360" w:before="0" w:after="0"/>
        <w:ind w:left="0" w:right="0" w:firstLine="680"/>
        <w:jc w:val="both"/>
        <w:rPr/>
      </w:pPr>
      <w:r>
        <w:rPr>
          <w:rFonts w:eastAsia="Calibri" w:cs="Times New Roman" w:ascii="Times New Roman" w:hAnsi="Times New Roman"/>
          <w:b w:val="false"/>
          <w:bCs w:val="false"/>
          <w:color w:val="000000"/>
          <w:sz w:val="28"/>
          <w:szCs w:val="28"/>
          <w:lang w:val="uk-UA" w:eastAsia="en-US" w:bidi="ar-SA"/>
        </w:rPr>
        <w:t>Закон України "Про судоустрій України" в ст. 1 визначив, що судова влада в Україні реалізується шляхом здійснення правосуддя у формі цивільного, господарського, адміністративного, кримінального, а також конституційного судочинства.</w:t>
      </w:r>
    </w:p>
    <w:p>
      <w:pPr>
        <w:pStyle w:val="Style17"/>
        <w:widowControl/>
        <w:overflowPunct w:val="true"/>
        <w:bidi w:val="0"/>
        <w:spacing w:lineRule="auto" w:line="360" w:before="0" w:after="0"/>
        <w:ind w:left="0" w:right="0" w:firstLine="680"/>
        <w:jc w:val="both"/>
        <w:rPr/>
      </w:pPr>
      <w:r>
        <w:rPr>
          <w:rFonts w:eastAsia="Calibri" w:cs="Times New Roman" w:ascii="Times New Roman" w:hAnsi="Times New Roman"/>
          <w:b w:val="false"/>
          <w:bCs w:val="false"/>
          <w:color w:val="000000"/>
          <w:sz w:val="28"/>
          <w:szCs w:val="28"/>
          <w:lang w:val="uk-UA" w:eastAsia="en-US" w:bidi="ar-SA"/>
        </w:rPr>
        <w:t>Цивільне, господарське, адміністративне і кримінальне судочинство в Україні здійснюється судами загальної юрисдикції відповідно до Конституції та законів України.</w:t>
      </w:r>
    </w:p>
    <w:p>
      <w:pPr>
        <w:pStyle w:val="Style17"/>
        <w:widowControl/>
        <w:overflowPunct w:val="true"/>
        <w:bidi w:val="0"/>
        <w:spacing w:lineRule="auto" w:line="360" w:before="0" w:after="0"/>
        <w:ind w:left="0" w:right="0" w:firstLine="680"/>
        <w:jc w:val="both"/>
        <w:rPr/>
      </w:pPr>
      <w:r>
        <w:rPr>
          <w:rFonts w:eastAsia="Calibri" w:cs="Times New Roman" w:ascii="Times New Roman" w:hAnsi="Times New Roman"/>
          <w:b w:val="false"/>
          <w:bCs w:val="false"/>
          <w:color w:val="000000"/>
          <w:sz w:val="28"/>
          <w:szCs w:val="28"/>
          <w:lang w:val="uk-UA" w:eastAsia="en-US" w:bidi="ar-SA"/>
        </w:rPr>
        <w:t>Отже, суди загальної юрисдикції - це самостійні державні органи судової влади, що здійснюють правосуддя шляхом цивільного, господарського, адміністративного та кримінального судочинства відповідно до Конституції та законів України і утворюють єдину систему судів.</w:t>
      </w:r>
    </w:p>
    <w:p>
      <w:pPr>
        <w:pStyle w:val="Style17"/>
        <w:widowControl/>
        <w:overflowPunct w:val="true"/>
        <w:bidi w:val="0"/>
        <w:spacing w:lineRule="auto" w:line="360" w:before="0" w:after="0"/>
        <w:ind w:left="0" w:right="0" w:firstLine="680"/>
        <w:jc w:val="both"/>
        <w:rPr/>
      </w:pPr>
      <w:r>
        <w:rPr>
          <w:rFonts w:eastAsia="Calibri" w:cs="Times New Roman" w:ascii="Times New Roman" w:hAnsi="Times New Roman"/>
          <w:b w:val="false"/>
          <w:bCs w:val="false"/>
          <w:color w:val="000000"/>
          <w:sz w:val="28"/>
          <w:szCs w:val="28"/>
          <w:lang w:val="uk-UA" w:eastAsia="en-US" w:bidi="ar-SA"/>
        </w:rPr>
        <w:t>За своєю сутністю суди загальної юрисдикції є державними органами судової влади, уповноваженими здійснювати правосуддя відповідно до Конституції та законів України.</w:t>
      </w:r>
    </w:p>
    <w:p>
      <w:pPr>
        <w:pStyle w:val="Style17"/>
        <w:widowControl/>
        <w:overflowPunct w:val="true"/>
        <w:bidi w:val="0"/>
        <w:spacing w:lineRule="auto" w:line="360" w:before="0" w:after="0"/>
        <w:ind w:left="0" w:right="0" w:firstLine="680"/>
        <w:jc w:val="both"/>
        <w:rPr/>
      </w:pPr>
      <w:r>
        <w:rPr>
          <w:rFonts w:eastAsia="Calibri" w:cs="Times New Roman" w:ascii="Times New Roman" w:hAnsi="Times New Roman"/>
          <w:b w:val="false"/>
          <w:bCs w:val="false"/>
          <w:color w:val="000000"/>
          <w:sz w:val="28"/>
          <w:szCs w:val="28"/>
          <w:lang w:val="uk-UA" w:eastAsia="en-US" w:bidi="ar-SA"/>
        </w:rPr>
        <w:t>За змістом своєї діяльності суди загальної юрисдикції є органами цивільної, господарської, адміністративної і кримінальної юрисдикції.</w:t>
      </w:r>
    </w:p>
    <w:p>
      <w:pPr>
        <w:pStyle w:val="Style17"/>
        <w:widowControl/>
        <w:overflowPunct w:val="true"/>
        <w:bidi w:val="0"/>
        <w:spacing w:lineRule="auto" w:line="360" w:before="0" w:after="0"/>
        <w:ind w:left="0" w:right="0" w:firstLine="680"/>
        <w:jc w:val="both"/>
        <w:rPr>
          <w:color w:val="000000"/>
        </w:rPr>
      </w:pPr>
      <w:r>
        <w:rPr>
          <w:rFonts w:eastAsia="Calibri" w:cs="Times New Roman" w:ascii="Times New Roman" w:hAnsi="Times New Roman"/>
          <w:b w:val="false"/>
          <w:bCs w:val="false"/>
          <w:color w:val="000000"/>
          <w:sz w:val="28"/>
          <w:szCs w:val="28"/>
          <w:lang w:val="uk-UA" w:eastAsia="en-US" w:bidi="ar-SA"/>
        </w:rPr>
        <w:t>За змістом ст. 15 ЦПК під цивільною юрисдикцією розуміється компетенція загальних судів вирішувати з додержанням процесуальної форми цивільні справи у видах проваджень, передбачених ЦПК121. За загальним правилом у порядку цивільного судочинства загальними судами вирішуються справи, у яких хоча б одна із сторін (позивач чи відповідач) є фізичною особою, а правовідносини, з яких виникає спір, регулюються нормами цивільного, житлового, земельного, сімейного і трудового законодавства (ст. 3, 15 ЦПК).</w:t>
      </w:r>
    </w:p>
    <w:p>
      <w:pPr>
        <w:pStyle w:val="Style17"/>
        <w:widowControl/>
        <w:overflowPunct w:val="true"/>
        <w:bidi w:val="0"/>
        <w:spacing w:lineRule="auto" w:line="360" w:before="0" w:after="0"/>
        <w:ind w:left="0" w:right="0" w:firstLine="680"/>
        <w:jc w:val="both"/>
        <w:rPr>
          <w:b w:val="false"/>
          <w:b w:val="false"/>
          <w:bCs w:val="false"/>
        </w:rPr>
      </w:pPr>
      <w:r>
        <w:rPr>
          <w:rFonts w:ascii="Times New Roman" w:hAnsi="Times New Roman"/>
          <w:b w:val="false"/>
          <w:bCs w:val="false"/>
          <w:sz w:val="28"/>
          <w:szCs w:val="28"/>
        </w:rPr>
        <w:t xml:space="preserve">Відповідно до ст. 2 КПК від 13.04.2012 р. завданнями кримінального судочинства є захист особи, суспільства та держави від кримінальних правопорушень, охорона прав, свобод та законних інтересів учасників кримінального провадження, а також забезпечення швидкого, повного та неупередженого розслідування і судового розгляду з тим, щоб кожний, хто вчинив кримінальне правопорушення, був притягнутий до відповідальності в міру своєї вини, жоден невинуватий не був обвинувачений або засуджений, жодна особа не була піддана необґрунтованому процесуальному примусу і щоб до кожного учасника кримінального провадження була застосована належна правова процедура. </w:t>
      </w:r>
    </w:p>
    <w:p>
      <w:pPr>
        <w:pStyle w:val="Style17"/>
        <w:widowControl/>
        <w:overflowPunct w:val="true"/>
        <w:bidi w:val="0"/>
        <w:spacing w:lineRule="auto" w:line="360" w:before="0" w:after="0"/>
        <w:ind w:left="0" w:right="0" w:firstLine="680"/>
        <w:jc w:val="both"/>
        <w:rPr>
          <w:b w:val="false"/>
          <w:b w:val="false"/>
          <w:bCs w:val="false"/>
        </w:rPr>
      </w:pPr>
      <w:r>
        <w:rPr>
          <w:rFonts w:ascii="Times New Roman" w:hAnsi="Times New Roman"/>
          <w:b w:val="false"/>
          <w:bCs w:val="false"/>
          <w:sz w:val="28"/>
          <w:szCs w:val="28"/>
        </w:rPr>
        <w:t>Процесуальний порядок розгляду загальними судами справ про адміністративні правопорушення регулюється розділом IV Кодексу України про адміністративні правопорушення, який має назву "Провадження у справах про адміністративні правопорушення". Завданнями провадження у справах про адміністративні правопорушення відповідно до ст. 245 КУ-пАП є своєчасне, всебічне, повне і об'єктивне з'ясування обставин кожної справи, вирішення її в точній відповідності з законом, забезпечення виконання винесеної постанови, а також виявлення причин та умов, що сприяють вчиненню адміністративних правопорушень, запобігання правопорушенням, виховання громадян у дусі додержання законів, зміцнення законності.</w:t>
      </w:r>
    </w:p>
    <w:p>
      <w:pPr>
        <w:pStyle w:val="Style17"/>
        <w:widowControl/>
        <w:overflowPunct w:val="true"/>
        <w:bidi w:val="0"/>
        <w:spacing w:lineRule="auto" w:line="360" w:before="0" w:after="0"/>
        <w:ind w:left="0" w:right="0" w:firstLine="680"/>
        <w:jc w:val="both"/>
        <w:rPr>
          <w:color w:val="000000"/>
        </w:rPr>
      </w:pPr>
      <w:r>
        <w:rPr>
          <w:rFonts w:eastAsia="Calibri" w:cs="Times New Roman" w:ascii="Times New Roman" w:hAnsi="Times New Roman"/>
          <w:b w:val="false"/>
          <w:bCs w:val="false"/>
          <w:color w:val="000000"/>
          <w:sz w:val="28"/>
          <w:szCs w:val="28"/>
          <w:lang w:val="uk-UA" w:eastAsia="en-US" w:bidi="ar-SA"/>
        </w:rPr>
        <w:t>Особливістю провадження у справах про адміністративні правопорушення е те, що воно здійснюється не лише загальними судами, а й низкою адміністративних органів, зокрема адміністративними комісіями виконкомів, органами внутрішніх справ, державної прикордонної і податкової служби, державного пожежного нагляду, органами на транспорті, у сфері праці, рибоохорони, лісового і мисливського господарства тощо. Саме тому в науці цивільного процесуального права цей вид судочинства у теоретичному аспекті часто називають не правосуддям, а непритаманною суду адміністративною діяльністю, якої він повинен бути позбавлений. Разом з тим, тенденції останніх десятиріч свідчать про розширення компетенції судів у тих сферах суспільного життя, де є потреба більш посиленого нагляду за дотриманням прав людини. Адже судова форма захисту завжди вирізнялася чітко визначеною процесуальною формою та була вищою за своєю ефективністю у порівнянні з будь-якою адміністративною. Аналіз кола справ, віднесених до компетенції загальних судів в порядку адміністративно-деліктного судочинства, і його генезису вказує саме на це. До компетенції саме судових, а не адміністративних органів законодавець, як правило, відносить справи про ті правопорушення, у яких, на думку законодавця, є потреба більш посиленого нагляду за дотриманням прав і свобод людини, у зв'язку з чим орган, який розглядатиме справу, має бути наділений гарантіями незалежності і безсторонності. Таким органом є саме суд.</w:t>
      </w:r>
    </w:p>
    <w:p>
      <w:pPr>
        <w:pStyle w:val="Style17"/>
        <w:widowControl/>
        <w:overflowPunct w:val="true"/>
        <w:bidi w:val="0"/>
        <w:spacing w:lineRule="auto" w:line="360" w:before="0" w:after="0"/>
        <w:ind w:left="0" w:right="0" w:firstLine="680"/>
        <w:jc w:val="both"/>
        <w:rPr>
          <w:b w:val="false"/>
          <w:b w:val="false"/>
          <w:bCs w:val="false"/>
        </w:rPr>
      </w:pPr>
      <w:r>
        <w:rPr>
          <w:rFonts w:ascii="Times New Roman" w:hAnsi="Times New Roman"/>
          <w:b w:val="false"/>
          <w:bCs w:val="false"/>
          <w:sz w:val="28"/>
          <w:szCs w:val="28"/>
        </w:rPr>
        <w:t>Однак такий підхід у деяких випадках породжує проблему розмежування юрисдикції загальних судів щодо розгляду справ про адміністративні правопорушення і адміністративних судів щодо справ адміністративного судочинства. Так, відповідно до п. З ч. 3 ст. 17 КАС юрисдикція адміністративних судів не поширюється на публічно-правові справи про накладення адміністративних стягнень. Згідно з іншою нормою - п. 2 ч. 1 ст. 18 КАС - адміністративними судами розглядаються усі адміністративні справи з приводу рішень, дій чи бездіяльності суб'єктів владних повноважень у справах про притягнення до адміністративної відповідальності. На перший погляд зазначені положення суперечать один одному, однак насправді це не так.</w:t>
      </w:r>
    </w:p>
    <w:p>
      <w:pPr>
        <w:pStyle w:val="Style17"/>
        <w:widowControl/>
        <w:overflowPunct w:val="true"/>
        <w:bidi w:val="0"/>
        <w:spacing w:lineRule="auto" w:line="360" w:before="0" w:after="0"/>
        <w:ind w:left="0" w:right="0" w:firstLine="680"/>
        <w:jc w:val="both"/>
        <w:rPr>
          <w:color w:val="000000"/>
        </w:rPr>
      </w:pPr>
      <w:r>
        <w:rPr>
          <w:rFonts w:eastAsia="Calibri" w:cs="Times New Roman" w:ascii="Times New Roman" w:hAnsi="Times New Roman"/>
          <w:b w:val="false"/>
          <w:bCs w:val="false"/>
          <w:color w:val="000000"/>
          <w:sz w:val="28"/>
          <w:szCs w:val="28"/>
          <w:lang w:val="uk-UA" w:eastAsia="en-US" w:bidi="ar-SA"/>
        </w:rPr>
        <w:t>Норма, яка говорить, що юрисдикція адміністративних судів не поширюється на публічно-правові спори про накладення адміністративних стягнень (ст. 17 КАС), має на увазі, що накладення адміністративних стягнень (іншими словами - притягнення до адміністративної відповідальності), а таксамо оскарження накладення адміністративного стягнення, у тих випадках, коли це віднесено до компетенції судових органів, провадиться не в порядку КАС адміністративними судами, а в порядку іншого виду судочинства - провадження у справах про адміністративні правопорушення, яке здійснюється загальними судами згідно з КУпАП. Отже, коли постановою загального суду, прийнятою у порядку КУпАП, на особу накладено адміністративне стягнення, така постанова оскаржується не шляхом звернення до адміністративного суду із позовом, а шляхом подання апеляційної скарги в порядку, передбаченому КУпАП (ст. 294), до суду апеляційної інстанції, який діє в межах ланки загальних судів (апеляційні суди областей, міст Києва та Севастополя і Автономної Республіки Крим).</w:t>
      </w:r>
    </w:p>
    <w:p>
      <w:pPr>
        <w:pStyle w:val="Style17"/>
        <w:widowControl/>
        <w:overflowPunct w:val="true"/>
        <w:bidi w:val="0"/>
        <w:spacing w:lineRule="auto" w:line="360" w:before="0" w:after="0"/>
        <w:ind w:left="0" w:right="0" w:firstLine="680"/>
        <w:jc w:val="both"/>
        <w:rPr>
          <w:color w:val="000000"/>
        </w:rPr>
      </w:pPr>
      <w:r>
        <w:rPr>
          <w:rFonts w:eastAsia="Calibri" w:cs="Times New Roman" w:ascii="Times New Roman" w:hAnsi="Times New Roman"/>
          <w:b w:val="false"/>
          <w:bCs w:val="false"/>
          <w:color w:val="000000"/>
          <w:sz w:val="28"/>
          <w:szCs w:val="28"/>
          <w:lang w:val="uk-UA" w:eastAsia="en-US" w:bidi="ar-SA"/>
        </w:rPr>
        <w:t>Постанови всіх інших органів і осіб, крім судових, прийняті в порядку КУпАП, про накладення на особу адміністративного стягнення (притягнення до адміністративної відповідальності), а також дії і бездіяльність зазначених органів і осіб, оскаржуються до адміністративного суду шляхом подання позову в порядку КАС (п. 2 ч. 1 ст. 17). Щоправда рішення адміністративного суду, прийняте за наслідками розгляду такої позовної заяви, відповідно до ч. 2 ст. 1712 КАС є остаточним і оскарженню не підлягає.</w:t>
      </w:r>
    </w:p>
    <w:p>
      <w:pPr>
        <w:pStyle w:val="Style17"/>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sz w:val="28"/>
          <w:szCs w:val="28"/>
          <w:lang w:val="uk-UA" w:eastAsia="en-US" w:bidi="ar-SA"/>
        </w:rPr>
      </w:pPr>
      <w:r>
        <w:rPr>
          <w:color w:val="000000"/>
        </w:rPr>
      </w:r>
    </w:p>
    <w:p>
      <w:pPr>
        <w:pStyle w:val="Style17"/>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sz w:val="28"/>
          <w:szCs w:val="28"/>
          <w:lang w:val="uk-UA" w:eastAsia="en-US" w:bidi="ar-SA"/>
        </w:rPr>
      </w:pPr>
      <w:r>
        <w:rPr>
          <w:color w:val="000000"/>
        </w:rPr>
      </w:r>
    </w:p>
    <w:p>
      <w:pPr>
        <w:pStyle w:val="Style17"/>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sz w:val="28"/>
          <w:szCs w:val="28"/>
          <w:lang w:val="uk-UA" w:eastAsia="en-US" w:bidi="ar-SA"/>
        </w:rPr>
      </w:pPr>
      <w:r>
        <w:rPr>
          <w:color w:val="000000"/>
        </w:rPr>
      </w:r>
    </w:p>
    <w:p>
      <w:pPr>
        <w:pStyle w:val="Style17"/>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sz w:val="28"/>
          <w:szCs w:val="28"/>
          <w:lang w:val="uk-UA" w:eastAsia="en-US" w:bidi="ar-SA"/>
        </w:rPr>
      </w:pPr>
      <w:r>
        <w:rPr>
          <w:color w:val="000000"/>
        </w:rPr>
      </w:r>
    </w:p>
    <w:p>
      <w:pPr>
        <w:pStyle w:val="Style17"/>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sz w:val="28"/>
          <w:szCs w:val="28"/>
          <w:lang w:val="uk-UA" w:eastAsia="en-US" w:bidi="ar-SA"/>
        </w:rPr>
      </w:pPr>
      <w:r>
        <w:rPr>
          <w:color w:val="000000"/>
        </w:rPr>
      </w:r>
    </w:p>
    <w:p>
      <w:pPr>
        <w:pStyle w:val="Style17"/>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sz w:val="28"/>
          <w:szCs w:val="28"/>
          <w:lang w:val="uk-UA" w:eastAsia="en-US" w:bidi="ar-SA"/>
        </w:rPr>
      </w:pPr>
      <w:r>
        <w:rPr>
          <w:color w:val="000000"/>
        </w:rPr>
      </w:r>
    </w:p>
    <w:p>
      <w:pPr>
        <w:pStyle w:val="Style17"/>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sz w:val="28"/>
          <w:szCs w:val="28"/>
          <w:lang w:val="uk-UA" w:eastAsia="en-US" w:bidi="ar-SA"/>
        </w:rPr>
      </w:pPr>
      <w:r>
        <w:rPr>
          <w:color w:val="000000"/>
        </w:rPr>
      </w:r>
    </w:p>
    <w:p>
      <w:pPr>
        <w:pStyle w:val="Style17"/>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sz w:val="28"/>
          <w:szCs w:val="28"/>
          <w:lang w:val="uk-UA" w:eastAsia="en-US" w:bidi="ar-SA"/>
        </w:rPr>
      </w:pPr>
      <w:r>
        <w:rPr>
          <w:color w:val="000000"/>
        </w:rPr>
      </w:r>
    </w:p>
    <w:p>
      <w:pPr>
        <w:pStyle w:val="Style17"/>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sz w:val="28"/>
          <w:szCs w:val="28"/>
          <w:lang w:val="uk-UA" w:eastAsia="en-US" w:bidi="ar-SA"/>
        </w:rPr>
      </w:pPr>
      <w:r>
        <w:rPr>
          <w:color w:val="000000"/>
        </w:rPr>
      </w:r>
    </w:p>
    <w:p>
      <w:pPr>
        <w:pStyle w:val="Style17"/>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sz w:val="28"/>
          <w:szCs w:val="28"/>
          <w:lang w:val="uk-UA" w:eastAsia="en-US" w:bidi="ar-SA"/>
        </w:rPr>
      </w:pPr>
      <w:r>
        <w:rPr>
          <w:color w:val="000000"/>
        </w:rPr>
      </w:r>
    </w:p>
    <w:p>
      <w:pPr>
        <w:pStyle w:val="Style17"/>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sz w:val="28"/>
          <w:szCs w:val="28"/>
          <w:lang w:val="uk-UA" w:eastAsia="en-US" w:bidi="ar-SA"/>
        </w:rPr>
      </w:pPr>
      <w:r>
        <w:rPr>
          <w:color w:val="000000"/>
        </w:rPr>
      </w:r>
    </w:p>
    <w:p>
      <w:pPr>
        <w:pStyle w:val="Style17"/>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sz w:val="28"/>
          <w:szCs w:val="28"/>
          <w:lang w:val="uk-UA" w:eastAsia="en-US" w:bidi="ar-SA"/>
        </w:rPr>
      </w:pPr>
      <w:r>
        <w:rPr>
          <w:color w:val="000000"/>
        </w:rPr>
      </w:r>
    </w:p>
    <w:p>
      <w:pPr>
        <w:pStyle w:val="Style17"/>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sz w:val="28"/>
          <w:szCs w:val="28"/>
          <w:lang w:val="uk-UA" w:eastAsia="en-US" w:bidi="ar-SA"/>
        </w:rPr>
      </w:pPr>
      <w:r>
        <w:rPr>
          <w:color w:val="000000"/>
        </w:rPr>
      </w:r>
    </w:p>
    <w:p>
      <w:pPr>
        <w:pStyle w:val="Style17"/>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sz w:val="28"/>
          <w:szCs w:val="28"/>
          <w:lang w:val="uk-UA" w:eastAsia="en-US" w:bidi="ar-SA"/>
        </w:rPr>
      </w:pPr>
      <w:r>
        <w:rPr>
          <w:color w:val="000000"/>
        </w:rPr>
      </w:r>
    </w:p>
    <w:p>
      <w:pPr>
        <w:pStyle w:val="Style17"/>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sz w:val="28"/>
          <w:szCs w:val="28"/>
          <w:lang w:val="uk-UA" w:eastAsia="en-US" w:bidi="ar-SA"/>
        </w:rPr>
      </w:pPr>
      <w:r>
        <w:rPr>
          <w:color w:val="000000"/>
        </w:rPr>
      </w:r>
    </w:p>
    <w:p>
      <w:pPr>
        <w:pStyle w:val="Style17"/>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sz w:val="28"/>
          <w:szCs w:val="28"/>
          <w:lang w:val="uk-UA" w:eastAsia="en-US" w:bidi="ar-SA"/>
        </w:rPr>
      </w:pPr>
      <w:r>
        <w:rPr>
          <w:color w:val="000000"/>
        </w:rPr>
      </w:r>
    </w:p>
    <w:p>
      <w:pPr>
        <w:pStyle w:val="Style17"/>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sz w:val="28"/>
          <w:szCs w:val="28"/>
          <w:lang w:val="uk-UA" w:eastAsia="en-US" w:bidi="ar-SA"/>
        </w:rPr>
      </w:pPr>
      <w:r>
        <w:rPr>
          <w:color w:val="000000"/>
        </w:rPr>
      </w:r>
    </w:p>
    <w:p>
      <w:pPr>
        <w:pStyle w:val="Style17"/>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sz w:val="28"/>
          <w:szCs w:val="28"/>
          <w:lang w:val="uk-UA" w:eastAsia="en-US" w:bidi="ar-SA"/>
        </w:rPr>
      </w:pPr>
      <w:r>
        <w:rPr>
          <w:color w:val="000000"/>
        </w:rPr>
      </w:r>
    </w:p>
    <w:p>
      <w:pPr>
        <w:pStyle w:val="Style17"/>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sz w:val="28"/>
          <w:szCs w:val="28"/>
          <w:lang w:val="uk-UA" w:eastAsia="en-US" w:bidi="ar-SA"/>
        </w:rPr>
      </w:pPr>
      <w:r>
        <w:rPr>
          <w:color w:val="000000"/>
        </w:rPr>
      </w:r>
    </w:p>
    <w:p>
      <w:pPr>
        <w:pStyle w:val="Style17"/>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sz w:val="28"/>
          <w:szCs w:val="28"/>
          <w:lang w:val="uk-UA" w:eastAsia="en-US" w:bidi="ar-SA"/>
        </w:rPr>
      </w:pPr>
      <w:r>
        <w:rPr>
          <w:color w:val="000000"/>
        </w:rPr>
      </w:r>
    </w:p>
    <w:p>
      <w:pPr>
        <w:pStyle w:val="Normal"/>
        <w:widowControl/>
        <w:overflowPunct w:val="true"/>
        <w:bidi w:val="0"/>
        <w:spacing w:lineRule="auto" w:line="360" w:before="0" w:after="0"/>
        <w:ind w:left="0" w:right="0" w:firstLine="680"/>
        <w:jc w:val="center"/>
        <w:rPr>
          <w:b/>
          <w:b/>
          <w:bCs/>
        </w:rPr>
      </w:pPr>
      <w:r>
        <w:rPr>
          <w:rFonts w:eastAsia="Calibri" w:cs="Times New Roman" w:ascii="Times New Roman" w:hAnsi="Times New Roman"/>
          <w:b/>
          <w:bCs/>
          <w:color w:val="000000"/>
          <w:sz w:val="28"/>
          <w:szCs w:val="28"/>
          <w:lang w:val="uk-UA" w:eastAsia="en-US" w:bidi="ar-SA"/>
        </w:rPr>
        <w:t>РОЗДІЛ 2. КАТЕГОРІЯ ЮРИСДІКЦІЇ АДМІНІСТРАТІВНІХ СУДІВ</w:t>
      </w:r>
    </w:p>
    <w:p>
      <w:pPr>
        <w:pStyle w:val="Normal"/>
        <w:widowControl/>
        <w:overflowPunct w:val="true"/>
        <w:bidi w:val="0"/>
        <w:spacing w:lineRule="auto" w:line="360" w:before="0" w:after="0"/>
        <w:ind w:left="0" w:right="0" w:firstLine="680"/>
        <w:jc w:val="center"/>
        <w:rPr>
          <w:rFonts w:ascii="Times New Roman" w:hAnsi="Times New Roman" w:eastAsia="Calibri" w:cs="Times New Roman"/>
          <w:color w:val="000000"/>
          <w:sz w:val="28"/>
          <w:szCs w:val="28"/>
          <w:lang w:val="uk-UA" w:eastAsia="en-US" w:bidi="ar-SA"/>
        </w:rPr>
      </w:pPr>
      <w:r>
        <w:rPr>
          <w:b/>
          <w:bCs/>
        </w:rPr>
      </w:r>
    </w:p>
    <w:p>
      <w:pPr>
        <w:pStyle w:val="Normal"/>
        <w:widowControl/>
        <w:overflowPunct w:val="true"/>
        <w:bidi w:val="0"/>
        <w:spacing w:lineRule="auto" w:line="360" w:before="0" w:after="0"/>
        <w:ind w:left="0" w:right="0" w:firstLine="680"/>
        <w:jc w:val="both"/>
        <w:rPr>
          <w:b/>
          <w:b/>
          <w:bCs/>
          <w:color w:val="000000"/>
        </w:rPr>
      </w:pPr>
      <w:r>
        <w:rPr>
          <w:rFonts w:eastAsia="Calibri" w:cs="Times New Roman" w:ascii="Times New Roman" w:hAnsi="Times New Roman"/>
          <w:b/>
          <w:bCs/>
          <w:color w:val="000000"/>
          <w:sz w:val="28"/>
          <w:szCs w:val="28"/>
          <w:lang w:val="uk-UA" w:eastAsia="en-US" w:bidi="ar-SA"/>
        </w:rPr>
        <w:t>2.1 Юрисдикція суду: поняття та загальні крітерії встановлення</w:t>
      </w:r>
    </w:p>
    <w:p>
      <w:pPr>
        <w:pStyle w:val="3"/>
        <w:widowControl/>
        <w:numPr>
          <w:ilvl w:val="0"/>
          <w:numId w:val="0"/>
        </w:numPr>
        <w:overflowPunct w:val="true"/>
        <w:bidi w:val="0"/>
        <w:spacing w:lineRule="auto" w:line="360" w:before="0" w:after="0"/>
        <w:ind w:left="720" w:right="0" w:hanging="0"/>
        <w:jc w:val="both"/>
        <w:rPr>
          <w:rFonts w:ascii="Times New Roman" w:hAnsi="Times New Roman" w:cs="Times New Roman"/>
          <w:color w:val="800000"/>
          <w:sz w:val="28"/>
          <w:szCs w:val="28"/>
        </w:rPr>
      </w:pPr>
      <w:r>
        <w:rPr/>
      </w:r>
    </w:p>
    <w:p>
      <w:pPr>
        <w:pStyle w:val="Style17"/>
        <w:widowControl/>
        <w:overflowPunct w:val="true"/>
        <w:bidi w:val="0"/>
        <w:spacing w:lineRule="auto" w:line="360" w:before="0" w:after="0"/>
        <w:ind w:left="0" w:right="0" w:firstLine="680"/>
        <w:jc w:val="both"/>
        <w:rPr>
          <w:color w:val="000000"/>
        </w:rPr>
      </w:pPr>
      <w:bookmarkStart w:id="0" w:name="aswift_1_anchor1"/>
      <w:bookmarkStart w:id="1" w:name="aswift_0_expand1"/>
      <w:bookmarkStart w:id="2" w:name="aswift_0_anchor1"/>
      <w:bookmarkStart w:id="3" w:name="aswift_1_expand1"/>
      <w:bookmarkEnd w:id="0"/>
      <w:bookmarkEnd w:id="1"/>
      <w:bookmarkEnd w:id="2"/>
      <w:bookmarkEnd w:id="3"/>
      <w:r>
        <w:rPr>
          <w:rFonts w:eastAsia="Calibri" w:cs="Times New Roman" w:ascii="Times New Roman" w:hAnsi="Times New Roman"/>
          <w:b w:val="false"/>
          <w:bCs w:val="false"/>
          <w:color w:val="000000"/>
          <w:sz w:val="28"/>
          <w:szCs w:val="28"/>
          <w:lang w:val="uk-UA" w:eastAsia="en-US" w:bidi="ar-SA"/>
        </w:rPr>
        <w:t>Із закріпленням у Конституції України 1996 р. положення про те, що юрисдикція судів поширюється на всі правовідносини, що виникають у державі (ст. 124), побудовою нової судової системи України на засадах принципу спеціалізації (ст. 125), а також зміщенням акцентів держави в бік посилення судової форми захисту пануючий у радянський період підхід до цивільної юрисдикції у смислі підвідомчості отримав дещо другорядне значення. Перед наукою цивільного процесуального права постало нове завдання - дати відповіді на питання: 1) де є межа компетенції судових органів, чи безмежна вона; 2) як розмежувати компетенцію різних ланок судової системи; 3) як розмежувати різні види судочинства між собою.</w:t>
      </w:r>
    </w:p>
    <w:p>
      <w:pPr>
        <w:pStyle w:val="Style17"/>
        <w:widowControl/>
        <w:overflowPunct w:val="true"/>
        <w:bidi w:val="0"/>
        <w:spacing w:lineRule="auto" w:line="360" w:before="0" w:after="0"/>
        <w:ind w:left="0" w:right="0" w:firstLine="680"/>
        <w:jc w:val="both"/>
        <w:rPr/>
      </w:pPr>
      <w:r>
        <w:rPr>
          <w:rStyle w:val="Style14"/>
          <w:rFonts w:ascii="Times New Roman" w:hAnsi="Times New Roman"/>
          <w:b w:val="false"/>
          <w:bCs w:val="false"/>
          <w:sz w:val="28"/>
          <w:szCs w:val="28"/>
        </w:rPr>
        <w:t>Судова юрисдикція - це компетенція спеціально уповноважених органів судової влади здійснювати правосуддя в формі визначеного законом виду судочинства та щодо визначеного кола правовідносин.</w:t>
      </w:r>
    </w:p>
    <w:p>
      <w:pPr>
        <w:pStyle w:val="Style17"/>
        <w:widowControl/>
        <w:overflowPunct w:val="true"/>
        <w:bidi w:val="0"/>
        <w:spacing w:lineRule="auto" w:line="360" w:before="0" w:after="0"/>
        <w:ind w:left="0" w:right="0" w:firstLine="680"/>
        <w:jc w:val="both"/>
        <w:rPr>
          <w:color w:val="000000"/>
        </w:rPr>
      </w:pPr>
      <w:r>
        <w:rPr>
          <w:rFonts w:eastAsia="Calibri" w:cs="Times New Roman" w:ascii="Times New Roman" w:hAnsi="Times New Roman"/>
          <w:b w:val="false"/>
          <w:bCs w:val="false"/>
          <w:color w:val="000000"/>
          <w:sz w:val="28"/>
          <w:szCs w:val="28"/>
          <w:lang w:val="uk-UA" w:eastAsia="en-US" w:bidi="ar-SA"/>
        </w:rPr>
        <w:t xml:space="preserve">Відповідно до Конституції і Закону України "Про судоустрій і статус суддів" судову систему України складають суди загальної юрисдикції та Конституційний Суд України. Система судів загальної юрисдикції в Україні будується за принципами спеціалізації, територіальності та інстанційності. Відповідно до принципу спеціалізації суди загальної юрисдикції поділяються на загальні, господарські і адміністративні суди, які спеціалізуються на розгляді відповідно цивільних, кримінальних справ і справ про адміністративні правопорушення (загальні суди), господарських справ (господарські суди), а також адміністративних справ (адміністративні суди). Зазначені категорії справ утворюють відповідно п'ять видів судочинства: цивільне, кримінальне, адміністративно-деліктне, господарське і адміністративне. Отже, в об'єктивному значенні, як сукупність норм, </w:t>
      </w:r>
      <w:r>
        <w:rPr>
          <w:rStyle w:val="Style14"/>
          <w:rFonts w:eastAsia="Calibri" w:cs="Times New Roman" w:ascii="Times New Roman" w:hAnsi="Times New Roman"/>
          <w:b w:val="false"/>
          <w:bCs w:val="false"/>
          <w:color w:val="000000"/>
          <w:sz w:val="28"/>
          <w:szCs w:val="28"/>
          <w:lang w:val="uk-UA" w:eastAsia="en-US" w:bidi="ar-SA"/>
        </w:rPr>
        <w:t>судова</w:t>
      </w:r>
      <w:r>
        <w:rPr>
          <w:rStyle w:val="Style14"/>
          <w:rFonts w:eastAsia="Calibri" w:cs="Times New Roman" w:ascii="Times New Roman" w:hAnsi="Times New Roman"/>
          <w:color w:val="000000"/>
          <w:sz w:val="28"/>
          <w:szCs w:val="28"/>
          <w:lang w:val="uk-UA" w:eastAsia="en-US" w:bidi="ar-SA"/>
        </w:rPr>
        <w:t xml:space="preserve"> </w:t>
      </w:r>
      <w:r>
        <w:rPr>
          <w:rStyle w:val="Style14"/>
          <w:rFonts w:eastAsia="Calibri" w:cs="Times New Roman" w:ascii="Times New Roman" w:hAnsi="Times New Roman"/>
          <w:b w:val="false"/>
          <w:bCs w:val="false"/>
          <w:color w:val="000000"/>
          <w:sz w:val="28"/>
          <w:szCs w:val="28"/>
          <w:lang w:val="uk-UA" w:eastAsia="en-US" w:bidi="ar-SA"/>
        </w:rPr>
        <w:t>юрисдикція - це інститут права, який покликаний розмежувати компетенцію різних ланок судової системи (загальних, господарських і адміністративних судів) і різні види судочинства (цивільне, кримінальне, адміністративно-деліктне, господарське і адміністративне) між собою.</w:t>
      </w:r>
    </w:p>
    <w:p>
      <w:pPr>
        <w:pStyle w:val="Style17"/>
        <w:widowControl/>
        <w:overflowPunct w:val="true"/>
        <w:bidi w:val="0"/>
        <w:spacing w:lineRule="auto" w:line="360" w:before="0" w:after="0"/>
        <w:ind w:left="0" w:right="0" w:firstLine="680"/>
        <w:jc w:val="both"/>
        <w:rPr>
          <w:b w:val="false"/>
          <w:b w:val="false"/>
          <w:bCs w:val="false"/>
        </w:rPr>
      </w:pPr>
      <w:r>
        <w:rPr>
          <w:rFonts w:ascii="Times New Roman" w:hAnsi="Times New Roman"/>
          <w:b w:val="false"/>
          <w:bCs w:val="false"/>
          <w:sz w:val="28"/>
          <w:szCs w:val="28"/>
        </w:rPr>
        <w:t>Це завдання прийнято вирішувати за допомогою критеріїв розмежування судової юрисдикції. Критерії розмежування судової юрисдикції - це передбачені законом умови, за яких певна справа підлягає розгляду за правилами того чи іншого виду судочинства.</w:t>
      </w:r>
    </w:p>
    <w:p>
      <w:pPr>
        <w:pStyle w:val="Style17"/>
        <w:widowControl/>
        <w:overflowPunct w:val="true"/>
        <w:bidi w:val="0"/>
        <w:spacing w:lineRule="auto" w:line="360" w:before="0" w:after="0"/>
        <w:ind w:left="0" w:right="0" w:firstLine="680"/>
        <w:jc w:val="both"/>
        <w:rPr>
          <w:b w:val="false"/>
          <w:b w:val="false"/>
          <w:bCs w:val="false"/>
        </w:rPr>
      </w:pPr>
      <w:r>
        <w:rPr>
          <w:rFonts w:ascii="Times New Roman" w:hAnsi="Times New Roman"/>
          <w:b w:val="false"/>
          <w:bCs w:val="false"/>
          <w:sz w:val="28"/>
          <w:szCs w:val="28"/>
        </w:rPr>
        <w:t xml:space="preserve">У науці цивільного процесуального права виділяють наступні критерії розмежування судової юрисдикції: </w:t>
      </w:r>
    </w:p>
    <w:p>
      <w:pPr>
        <w:pStyle w:val="Style17"/>
        <w:widowControl/>
        <w:overflowPunct w:val="true"/>
        <w:bidi w:val="0"/>
        <w:spacing w:lineRule="auto" w:line="360" w:before="0" w:after="0"/>
        <w:ind w:left="0" w:right="0" w:firstLine="680"/>
        <w:jc w:val="both"/>
        <w:rPr>
          <w:b w:val="false"/>
          <w:b w:val="false"/>
          <w:bCs w:val="false"/>
        </w:rPr>
      </w:pPr>
      <w:r>
        <w:rPr>
          <w:rFonts w:ascii="Times New Roman" w:hAnsi="Times New Roman"/>
          <w:b w:val="false"/>
          <w:bCs w:val="false"/>
          <w:sz w:val="28"/>
          <w:szCs w:val="28"/>
        </w:rPr>
        <w:t>1) суб'єктний - суб'єктний склад правовідносин;</w:t>
      </w:r>
    </w:p>
    <w:p>
      <w:pPr>
        <w:pStyle w:val="Style17"/>
        <w:widowControl/>
        <w:overflowPunct w:val="true"/>
        <w:bidi w:val="0"/>
        <w:spacing w:lineRule="auto" w:line="360" w:before="0" w:after="0"/>
        <w:ind w:left="0" w:right="0" w:firstLine="680"/>
        <w:jc w:val="both"/>
        <w:rPr>
          <w:b w:val="false"/>
          <w:b w:val="false"/>
          <w:bCs w:val="false"/>
        </w:rPr>
      </w:pPr>
      <w:r>
        <w:rPr>
          <w:rFonts w:ascii="Times New Roman" w:hAnsi="Times New Roman"/>
          <w:b w:val="false"/>
          <w:bCs w:val="false"/>
          <w:sz w:val="28"/>
          <w:szCs w:val="28"/>
        </w:rPr>
        <w:t>2) предметний - характер спірних матеріальних правовідносин;</w:t>
      </w:r>
    </w:p>
    <w:p>
      <w:pPr>
        <w:pStyle w:val="Style17"/>
        <w:widowControl/>
        <w:overflowPunct w:val="true"/>
        <w:bidi w:val="0"/>
        <w:spacing w:lineRule="auto" w:line="360" w:before="0" w:after="0"/>
        <w:ind w:left="0" w:right="0" w:firstLine="680"/>
        <w:jc w:val="both"/>
        <w:rPr>
          <w:b w:val="false"/>
          <w:b w:val="false"/>
          <w:bCs w:val="false"/>
        </w:rPr>
      </w:pPr>
      <w:r>
        <w:rPr>
          <w:rFonts w:ascii="Times New Roman" w:hAnsi="Times New Roman"/>
          <w:b w:val="false"/>
          <w:bCs w:val="false"/>
          <w:sz w:val="28"/>
          <w:szCs w:val="28"/>
        </w:rPr>
        <w:t>3) пряма вказівка в законі - вказівка в законі на вид судочинства, в якому розглядається визначена категорія справ.</w:t>
      </w:r>
    </w:p>
    <w:p>
      <w:pPr>
        <w:pStyle w:val="Style17"/>
        <w:widowControl/>
        <w:overflowPunct w:val="true"/>
        <w:bidi w:val="0"/>
        <w:spacing w:lineRule="auto" w:line="360" w:before="0" w:after="0"/>
        <w:ind w:left="0" w:right="0" w:firstLine="680"/>
        <w:jc w:val="both"/>
        <w:rPr>
          <w:b w:val="false"/>
          <w:b w:val="false"/>
          <w:bCs w:val="false"/>
        </w:rPr>
      </w:pPr>
      <w:r>
        <w:rPr>
          <w:rFonts w:ascii="Times New Roman" w:hAnsi="Times New Roman"/>
          <w:b w:val="false"/>
          <w:bCs w:val="false"/>
          <w:sz w:val="28"/>
          <w:szCs w:val="28"/>
        </w:rPr>
        <w:t>При цьому перші два критерії (суб'єктний і предметний) вважаються загальними і, як правило, застосовуються у сукупності, а останній - спеціальним, оскільки при його наявності загальні не застосовуються. Це відповідає загальноприйнятому в теорії права правилу, відповідно до якого при конкуренції загальної і спеціальної норми - діє спеціальна.</w:t>
      </w:r>
    </w:p>
    <w:p>
      <w:pPr>
        <w:pStyle w:val="Style17"/>
        <w:widowControl/>
        <w:overflowPunct w:val="true"/>
        <w:bidi w:val="0"/>
        <w:spacing w:lineRule="auto" w:line="360" w:before="0" w:after="0"/>
        <w:ind w:left="0" w:right="0" w:firstLine="680"/>
        <w:jc w:val="both"/>
        <w:rPr>
          <w:color w:val="000000"/>
        </w:rPr>
      </w:pPr>
      <w:r>
        <w:rPr>
          <w:rFonts w:eastAsia="Calibri" w:cs="Times New Roman" w:ascii="Times New Roman" w:hAnsi="Times New Roman"/>
          <w:b w:val="false"/>
          <w:bCs w:val="false"/>
          <w:color w:val="000000"/>
          <w:sz w:val="28"/>
          <w:szCs w:val="28"/>
          <w:lang w:val="uk-UA" w:eastAsia="en-US" w:bidi="ar-SA"/>
        </w:rPr>
        <w:t>Основна складність застосування критеріїв розмежування судової юрисдикції полягає у тому, що майже всі норми, які закріплюють положення про юрисдикцію суду, містять застереження типу "якщо інше не передбачено законом". Так, у ЦПК це застереження виглядає наступним чином: (а) "суди розглядають у порядку цивільного судочинства справи щодо інших правовідносин, крім випадків, коли розгляд таких справ проводиться заправилами іншого судочинства" (п. З ч. 1 ст. 15) і (б) "законом може бути передбачено розгляд інших справ за правилами цивільного судочинства" (ч. 2 ст. 15). Аналогічно у ГПК закріплено, що: (а) "господарським судам підвідомчі справи у спорах, що виникають з інших підстав" (абз. 1 п. 1 ч. 1 ст. 12) і (б) господарським судам не підвідомчі спори, "що виникають із публічно-правових відносин та віднесені до компетенції Конституційного Суду України та адміністративних судів", та інші спори, "вирішення яких... віднесено до відання інших органів" (абз. 5,6 п. 1 ч. 1 ст. 12). Схожі положення містить і КАС, відповідно до якого "до адміністративних судів можуть бути оскаржені будь-які рішення, дії чи бездіяльність суб'єктів владних повноважень, крім випадків, коли щодо таких рішень, дій чи бездіяльності Конституцією чи законами України встановлено інший порядок судового провадження" (ч. 2 ст. 2). Наслідком наведених законодавчих формулювань є те, що нормативно юрисдикція жодного суду не є абсолютно визначеною, а носить відносно визначений характер. Це означає, що юрисдикція щодо справ одного виду судочинства завжди має визначається відносно справ інших видів судочинства. Наприклад, щоб визначити цивільну юрисдикцію необхідно мати уявлення про юрисдикцію господарських і адміністративних судів, і навпаки. Такий підхід вносить певні складнощі як у процес пізнання, так і застосування відповідного правового інституту, адже визначити юрисдикцію одного типу судів неможливо без знання юрисдикції інших. А тому є об'єктивна потреба зупинитися на аналізі юрисдикції кожного з них.22 Зміст адміністративна юрисдикції</w:t>
      </w:r>
    </w:p>
    <w:p>
      <w:pPr>
        <w:pStyle w:val="Style17"/>
        <w:widowControl/>
        <w:overflowPunct w:val="true"/>
        <w:bidi w:val="0"/>
        <w:spacing w:lineRule="auto" w:line="360" w:before="0" w:after="0"/>
        <w:ind w:left="0" w:right="0" w:firstLine="680"/>
        <w:jc w:val="both"/>
        <w:rPr>
          <w:b w:val="false"/>
          <w:b w:val="false"/>
          <w:bCs w:val="false"/>
        </w:rPr>
      </w:pPr>
      <w:r>
        <w:rPr>
          <w:rFonts w:ascii="Times New Roman" w:hAnsi="Times New Roman"/>
          <w:b w:val="false"/>
          <w:bCs w:val="false"/>
          <w:sz w:val="28"/>
          <w:szCs w:val="28"/>
        </w:rPr>
        <w:t>Більшу частину проваджень, які складають структуру адміністративного процесу, спрямовано на регулювання правовідносин позитивного характеру, що виникають у ході управлінської діяльності державних органів. Проте порушення вимог правових норм вимагають відповідного реагування з боку держави. Ця обставина обумовлює існування особливої правоохоронної діяльності, зміст якої складають розгляд справ про правопорушення, інші правові спори по суті та прийняття по них відповідних рішень. У процесі такої діяльності вирішують юридичну справу, здійснюють правовий захист порушених або оспорюваних інтересів, виносять державно-владне рішення про застосування відповідної правової санкції, відновлення порушеного права.</w:t>
      </w:r>
    </w:p>
    <w:p>
      <w:pPr>
        <w:pStyle w:val="Style17"/>
        <w:widowControl/>
        <w:overflowPunct w:val="true"/>
        <w:bidi w:val="0"/>
        <w:spacing w:lineRule="auto" w:line="360" w:before="0" w:after="0"/>
        <w:ind w:left="0" w:right="0" w:firstLine="680"/>
        <w:jc w:val="both"/>
        <w:rPr>
          <w:color w:val="000000"/>
        </w:rPr>
      </w:pPr>
      <w:r>
        <w:rPr>
          <w:rFonts w:eastAsia="Calibri" w:cs="Times New Roman" w:ascii="Times New Roman" w:hAnsi="Times New Roman"/>
          <w:b w:val="false"/>
          <w:bCs w:val="false"/>
          <w:color w:val="000000"/>
          <w:sz w:val="28"/>
          <w:szCs w:val="28"/>
          <w:lang w:val="uk-UA" w:eastAsia="en-US" w:bidi="ar-SA"/>
        </w:rPr>
        <w:t>Ця діяльність, яка має назву «юрисдикція», властива і адміністративному процесу. Тому частину проваджень у структурі адміністративного процесу слід охарактеризувати як адміністративно-юрисдикційні. До них належать: провадження по скаргах громадян; дисциплінарне провадження; провадження по застосуванню заходів адміністративного попередження та припинення; провадження в справах про адміністративні правопорушення.</w:t>
      </w:r>
    </w:p>
    <w:p>
      <w:pPr>
        <w:pStyle w:val="Style17"/>
        <w:widowControl/>
        <w:overflowPunct w:val="true"/>
        <w:bidi w:val="0"/>
        <w:spacing w:lineRule="auto" w:line="360" w:before="0" w:after="0"/>
        <w:ind w:left="0" w:right="0" w:firstLine="680"/>
        <w:jc w:val="both"/>
        <w:rPr>
          <w:color w:val="000000"/>
        </w:rPr>
      </w:pPr>
      <w:r>
        <w:rPr>
          <w:rFonts w:eastAsia="Calibri" w:cs="Times New Roman" w:ascii="Times New Roman" w:hAnsi="Times New Roman"/>
          <w:b w:val="false"/>
          <w:bCs w:val="false"/>
          <w:color w:val="000000"/>
          <w:sz w:val="28"/>
          <w:szCs w:val="28"/>
          <w:lang w:val="uk-UA" w:eastAsia="en-US" w:bidi="ar-SA"/>
        </w:rPr>
        <w:t>Адміністративній юрисдикції притаманні наступні риси:</w:t>
      </w:r>
    </w:p>
    <w:p>
      <w:pPr>
        <w:pStyle w:val="Style17"/>
        <w:widowControl/>
        <w:overflowPunct w:val="true"/>
        <w:bidi w:val="0"/>
        <w:spacing w:lineRule="auto" w:line="360" w:before="0" w:after="0"/>
        <w:ind w:left="0" w:right="0" w:firstLine="680"/>
        <w:jc w:val="both"/>
        <w:rPr>
          <w:b w:val="false"/>
          <w:b w:val="false"/>
          <w:bCs w:val="false"/>
          <w:color w:val="000000"/>
        </w:rPr>
      </w:pPr>
      <w:r>
        <w:rPr>
          <w:rFonts w:ascii="Times New Roman" w:hAnsi="Times New Roman"/>
          <w:b w:val="false"/>
          <w:bCs w:val="false"/>
          <w:color w:val="000000"/>
          <w:sz w:val="28"/>
          <w:szCs w:val="28"/>
        </w:rPr>
        <w:t>1. Наявність правопорушення (правового спору). Розгляд і вирішення юридичних справ, обумовлених позитивними обставинами, не охоплюються юрисдикційною діяльністю. Юрисдикція виникає лише тоді, коли необхідно розв'язати питання про застосування заходів адміністративного примусу (адміністративної відповідальності зокрема) чи спір про право, порушення встановлених правових норм. Стосовно адміністративної юрисдикції такого роду спори виникають між сторонами суспільних відносин, що регулюються адміністративно-правовими нормами, набуваючи характеру адміністративно-правових спорів.</w:t>
      </w:r>
    </w:p>
    <w:p>
      <w:pPr>
        <w:pStyle w:val="Style17"/>
        <w:widowControl/>
        <w:overflowPunct w:val="true"/>
        <w:bidi w:val="0"/>
        <w:spacing w:lineRule="auto" w:line="360" w:before="0" w:after="0"/>
        <w:ind w:left="0" w:right="0" w:firstLine="680"/>
        <w:jc w:val="both"/>
        <w:rPr>
          <w:b w:val="false"/>
          <w:b w:val="false"/>
          <w:bCs w:val="false"/>
          <w:color w:val="000000"/>
        </w:rPr>
      </w:pPr>
      <w:r>
        <w:rPr>
          <w:rFonts w:ascii="Times New Roman" w:hAnsi="Times New Roman"/>
          <w:b w:val="false"/>
          <w:bCs w:val="false"/>
          <w:color w:val="000000"/>
          <w:sz w:val="28"/>
          <w:szCs w:val="28"/>
        </w:rPr>
        <w:t>2. Адміністративно-юрисдикційна діяльність внаслідок своєї особливої соціальної гостроти потребує належного процесуального регулювання. Встановлення та доказ подій і фактів, їх юридичну оцінку здійснюють у межах особливої процесуальної форми, яка є важливою, обов'язковою для юрисдикції.</w:t>
      </w:r>
    </w:p>
    <w:p>
      <w:pPr>
        <w:pStyle w:val="Style17"/>
        <w:widowControl/>
        <w:overflowPunct w:val="true"/>
        <w:bidi w:val="0"/>
        <w:spacing w:lineRule="auto" w:line="360" w:before="0" w:after="0"/>
        <w:ind w:left="0" w:right="0" w:firstLine="680"/>
        <w:jc w:val="both"/>
        <w:rPr>
          <w:b w:val="false"/>
          <w:b w:val="false"/>
          <w:bCs w:val="false"/>
          <w:color w:val="000000"/>
        </w:rPr>
      </w:pPr>
      <w:r>
        <w:rPr>
          <w:rFonts w:ascii="Times New Roman" w:hAnsi="Times New Roman"/>
          <w:b w:val="false"/>
          <w:bCs w:val="false"/>
          <w:color w:val="000000"/>
          <w:sz w:val="28"/>
          <w:szCs w:val="28"/>
        </w:rPr>
        <w:t>Адміністративно-процесуальна форма, як і інші види юрисдикційної діяльності, передбачає змагальність процедури вирішення справи. Це означає, що сторони в спорі або винні у вчиненні правопорушення не є пасивними спостерігачами вирішення справи юрисдикційним органом. Вони наділені достатньо широким арсеналом процесуальних прав, що дозволяє їм активно захищати свої інтереси, надавати докази, висувати клопотання, оспорювати пред'явлені докази у вчиненні адміністративного правопорушення. При цьому адміністративно-юрйсдикційні органи, їх посадові особи зобов'язані сприяти в здійсненні цих процесуальних прав.</w:t>
      </w:r>
    </w:p>
    <w:p>
      <w:pPr>
        <w:pStyle w:val="Style17"/>
        <w:widowControl/>
        <w:overflowPunct w:val="true"/>
        <w:bidi w:val="0"/>
        <w:spacing w:lineRule="auto" w:line="360" w:before="0" w:after="0"/>
        <w:ind w:left="0" w:right="0" w:firstLine="680"/>
        <w:jc w:val="both"/>
        <w:rPr>
          <w:b w:val="false"/>
          <w:b w:val="false"/>
          <w:bCs w:val="false"/>
          <w:color w:val="000000"/>
        </w:rPr>
      </w:pPr>
      <w:r>
        <w:rPr>
          <w:rFonts w:ascii="Times New Roman" w:hAnsi="Times New Roman"/>
          <w:b w:val="false"/>
          <w:bCs w:val="false"/>
          <w:color w:val="000000"/>
          <w:sz w:val="28"/>
          <w:szCs w:val="28"/>
        </w:rPr>
        <w:t>3. Обов'язковість прийняття рішення у вигляді юридичного акта становить собою ще одну важливу ознаку юрисдикційної діяльності. Будучи способом розв'язання правових конфліктів, юрисдикція передбачає необхідність прийняття остаточного рішення — акта застосування норм права до конкретного випадку.</w:t>
      </w:r>
    </w:p>
    <w:p>
      <w:pPr>
        <w:pStyle w:val="Style17"/>
        <w:widowControl/>
        <w:overflowPunct w:val="true"/>
        <w:bidi w:val="0"/>
        <w:spacing w:lineRule="auto" w:line="360" w:before="0" w:after="0"/>
        <w:ind w:left="0" w:right="0" w:firstLine="680"/>
        <w:jc w:val="both"/>
        <w:rPr>
          <w:b w:val="false"/>
          <w:b w:val="false"/>
          <w:bCs w:val="false"/>
        </w:rPr>
      </w:pPr>
      <w:r>
        <w:rPr>
          <w:rFonts w:ascii="Times New Roman" w:hAnsi="Times New Roman"/>
          <w:b w:val="false"/>
          <w:bCs w:val="false"/>
          <w:sz w:val="28"/>
          <w:szCs w:val="28"/>
        </w:rPr>
        <w:t>Юрисдикційний акт у конкретній адміністративній справі означає по суті вирішення правового спору. Якщо ж йдеться про правопорушення, в такому акті можуть бути передбачені правові санкції. Їх застосування є лише одним із варіантів рішення, що приймає адміністративно-юрисдикційний орган. Іншими варіантами можуть бути рішення про припинення провадження в справі чи застосування засобів впливу до неповнолітнього.</w:t>
      </w:r>
    </w:p>
    <w:p>
      <w:pPr>
        <w:pStyle w:val="Style17"/>
        <w:widowControl/>
        <w:overflowPunct w:val="true"/>
        <w:bidi w:val="0"/>
        <w:spacing w:lineRule="auto" w:line="360" w:before="0" w:after="0"/>
        <w:ind w:left="0" w:right="0" w:firstLine="680"/>
        <w:jc w:val="both"/>
        <w:rPr>
          <w:b w:val="false"/>
          <w:b w:val="false"/>
          <w:bCs w:val="false"/>
        </w:rPr>
      </w:pPr>
      <w:r>
        <w:rPr>
          <w:rFonts w:ascii="Times New Roman" w:hAnsi="Times New Roman"/>
          <w:b w:val="false"/>
          <w:bCs w:val="false"/>
          <w:sz w:val="28"/>
          <w:szCs w:val="28"/>
        </w:rPr>
        <w:t>Як відомо, провадження в адміністративній справі вважають закінченим, коли прийняте у ній рішення виконано в повному обсязі. З цього погляду законодавець передбачає відповідну гарантію реальності рішень, прийнятих адміністративно-юрисдикційним органом. Зокрема, постанова про накладення адміністративного стягнення є обов'язковою для виконання державними й громадськими органами, підприємствами, установами, організаціями, посадовими особами та громадянами (ст. 298 КпАП).</w:t>
      </w:r>
    </w:p>
    <w:p>
      <w:pPr>
        <w:pStyle w:val="Style17"/>
        <w:widowControl/>
        <w:overflowPunct w:val="true"/>
        <w:bidi w:val="0"/>
        <w:spacing w:lineRule="auto" w:line="360" w:before="0" w:after="0"/>
        <w:ind w:left="0" w:right="0" w:firstLine="680"/>
        <w:jc w:val="both"/>
        <w:rPr>
          <w:b w:val="false"/>
          <w:b w:val="false"/>
          <w:bCs w:val="false"/>
        </w:rPr>
      </w:pPr>
      <w:r>
        <w:rPr>
          <w:rFonts w:ascii="Times New Roman" w:hAnsi="Times New Roman"/>
          <w:b w:val="false"/>
          <w:bCs w:val="false"/>
          <w:sz w:val="28"/>
          <w:szCs w:val="28"/>
        </w:rPr>
        <w:t>Розгляд адміністративно-правових спорів здійснюють на основі відповідних нормативно-правових актів, які закріплюють порядок розгляду скарг на неправомірні дії або бездіяльність органів і посадових осіб, що порушують права й законні інтереси громадян. Щодо адміністративних деліктів, то процесуальний порядок розгляду таких справ закріплено в Особливій частині КпАП.</w:t>
      </w:r>
    </w:p>
    <w:p>
      <w:pPr>
        <w:pStyle w:val="Style17"/>
        <w:widowControl/>
        <w:overflowPunct w:val="true"/>
        <w:bidi w:val="0"/>
        <w:spacing w:lineRule="auto" w:line="360" w:before="0" w:after="0"/>
        <w:ind w:left="0" w:right="0" w:firstLine="680"/>
        <w:jc w:val="both"/>
        <w:rPr>
          <w:b w:val="false"/>
          <w:b w:val="false"/>
          <w:bCs w:val="false"/>
        </w:rPr>
      </w:pPr>
      <w:r>
        <w:rPr>
          <w:rFonts w:ascii="Times New Roman" w:hAnsi="Times New Roman"/>
          <w:b w:val="false"/>
          <w:bCs w:val="false"/>
          <w:sz w:val="28"/>
          <w:szCs w:val="28"/>
        </w:rPr>
        <w:t>Ще однією особливістю адміністративної юрисдикції є різноманітність органів її здійснення. Насамперед це обумовлено можливістю інстанційного оскарження дій і рішень органів та посадових осіб, що порушують права громадян. Інакше кажучи, будь-який вищий відносно них орган повинен розглянути таке звернення та прийняти щодо нього відповідне рішення. З іншого боку, особливості правопорушень, що вчиняються у різних галузях управління, обумовлюють наявність значної кількості органів (посадових осіб), уповноважених розглядати їх і вирішувати по суті. У переважній частині випадків розгляд справ про адміністративні правопорушення покладено законодавцем на органи, основним завданням яких, поряд із виконанням юрисдикційних, є здійснення управління в різних галузях. Разом з тим, адміністративно-юрисдикційні функції здійснюють і органи, спеціально створені для розгляду справ про адміністративні правопорушення, — адміністративні комісії.</w:t>
      </w:r>
    </w:p>
    <w:p>
      <w:pPr>
        <w:pStyle w:val="Style17"/>
        <w:widowControl/>
        <w:overflowPunct w:val="true"/>
        <w:bidi w:val="0"/>
        <w:spacing w:lineRule="auto" w:line="360" w:before="0" w:after="0"/>
        <w:ind w:left="0" w:right="0" w:firstLine="680"/>
        <w:jc w:val="both"/>
        <w:rPr>
          <w:b w:val="false"/>
          <w:b w:val="false"/>
          <w:bCs w:val="false"/>
        </w:rPr>
      </w:pPr>
      <w:r>
        <w:rPr>
          <w:rFonts w:ascii="Times New Roman" w:hAnsi="Times New Roman"/>
          <w:b w:val="false"/>
          <w:bCs w:val="false"/>
          <w:sz w:val="28"/>
          <w:szCs w:val="28"/>
        </w:rPr>
        <w:t>За загальним правилом, в порядку адміністративного судочинства адміністративними судами розглядаються справи, у яких однією із сторін (позивачем чи відповідачем) є суб'єкт владних повноважень, тобто, як правило, орган державної влади, орган місцевого самоврядування, їх посадова чи службова особа, а правовідносини, з яких виникає спір, є публічно-правовими, тобто такими, у яких суб'єкт владних повноважень знаходився при здійсненні владних управлінських функцій (ст. 3,17 КАС).</w:t>
      </w:r>
    </w:p>
    <w:p>
      <w:pPr>
        <w:pStyle w:val="Style17"/>
        <w:widowControl/>
        <w:overflowPunct w:val="true"/>
        <w:bidi w:val="0"/>
        <w:spacing w:lineRule="auto" w:line="360" w:before="0" w:after="0"/>
        <w:ind w:left="0" w:right="0" w:firstLine="680"/>
        <w:jc w:val="both"/>
        <w:rPr>
          <w:b w:val="false"/>
          <w:b w:val="false"/>
          <w:bCs w:val="false"/>
        </w:rPr>
      </w:pPr>
      <w:r>
        <w:rPr>
          <w:rFonts w:ascii="Times New Roman" w:hAnsi="Times New Roman"/>
          <w:b w:val="false"/>
          <w:bCs w:val="false"/>
          <w:sz w:val="28"/>
          <w:szCs w:val="28"/>
        </w:rPr>
        <w:t xml:space="preserve">Згідно з ч. 2 ст. 2 КАС до адміністративних судів можуть бути оскаржені будь-які рішення, дії чи бездіяльність суб'єктів владних повноважень, крім випадків, коли щодо таких рішень, дій чи бездіяльності Конституцією чи законами України встановлено інший порядок судового провадження. Згідно з ч. 2 ст. 4 названого Кодексу юрисдикція адміністративних судів поширюється на всі публічно-правові спори, крім спорів, для яких законом встановлений інший порядок судового вирішення. Отже, закони України можуть передбачати вирішення певних категорій публічно-правових спорів в порядку інших видів судочинства. </w:t>
      </w:r>
    </w:p>
    <w:p>
      <w:pPr>
        <w:pStyle w:val="Style17"/>
        <w:widowControl/>
        <w:overflowPunct w:val="true"/>
        <w:bidi w:val="0"/>
        <w:spacing w:lineRule="auto" w:line="360" w:before="0" w:after="0"/>
        <w:ind w:left="0" w:right="0" w:firstLine="680"/>
        <w:jc w:val="both"/>
        <w:rPr>
          <w:b w:val="false"/>
          <w:b w:val="false"/>
          <w:bCs w:val="false"/>
        </w:rPr>
      </w:pPr>
      <w:r>
        <w:rPr>
          <w:rFonts w:ascii="Times New Roman" w:hAnsi="Times New Roman"/>
          <w:b w:val="false"/>
          <w:bCs w:val="false"/>
          <w:color w:val="000000"/>
          <w:sz w:val="28"/>
          <w:szCs w:val="28"/>
        </w:rPr>
        <w:t>Для визначення меж юрисдикції адміністративних судів необхідно перш за все з'ясувати зміст поняття "справа адміністративної юрисдикції". Відповідно до ст. 3 КАС під нею розуміється переданий на вирішення адміністративного суду публічно-правовий спір, у якому хоча б однією з сторін є суб'єкт, що здійснює владні управлінські функції на основі законодавства, в тому числі на виконання делегованих повноважень. Тобто, справою адміністративної юрисдикції є переданий на вирішення адміністративного суду спір, який виник між двома (кількома) конкретними суб'єктами суспільства стосовно їхніх прав та обов'язків у конкретних правових відносинах, у яких хоча б один суб'єкт законодавчо уповноважений владно керувати поведінкою іншого (інших) суб'єктів, а ці суб'єкти відповідно зобов'язані виконувати вимоги та приписи такого владного суб'єкта.</w:t>
      </w:r>
      <w:r>
        <w:rPr>
          <w:rFonts w:ascii="Times New Roman" w:hAnsi="Times New Roman"/>
          <w:b w:val="false"/>
          <w:bCs w:val="false"/>
          <w:color w:val="FF0000"/>
          <w:sz w:val="28"/>
          <w:szCs w:val="28"/>
        </w:rPr>
        <w:t xml:space="preserve"> </w:t>
      </w:r>
      <w:r>
        <w:rPr>
          <w:rFonts w:ascii="Times New Roman" w:hAnsi="Times New Roman"/>
          <w:b w:val="false"/>
          <w:bCs w:val="false"/>
          <w:sz w:val="28"/>
          <w:szCs w:val="28"/>
        </w:rPr>
        <w:t>У випадку, якщо суб'єкт (у тому числі орган державної влади, орган місцевого самоврядування, їхня посадова чи службова особа) у спірних правовідносинах не здійснює вказані владні управлінські функції щодо іншого суб'єкта, який є учасником спору, такий спір не має встановлених нормами КАС ознак справи адміністративної юрисдикції, і, відповідно, не повинен вирішуватись адміністративним судом. Поняття "суб'єкт владних повноважень" також визначено у ст. 3 КАС - це органи державної влади, орган місцевого самоврядування, їхні посадові чи службові особи, інший суб'єкт при здійсненні ними владних управлінських функцій на основі законодавства, в тому числі на виконання делегованих повноважень. Отже, необхідною та єдиною ознакою суб'єкта владних повноважень є здійснення цим суб'єктом владних управлінських функцій, при цьому ці функції повинні здійснюватись суб'єктом саме у тих правовідносинах, у яких виник спір. У випадку, якщо він у спірних правовідносинах не здійснює вказаних владних управлінських функцій {щодо іншого суб'єкта, який є учасником спору), то такий суб'єкт не знаходиться "при здійсненні управлінських функцій", та не має встановлених нормами КАС необхідних ознак суб'єкта владних повноважень. Саме такі рекомендації щодо визначення юрисдикції адміністративних судів і її відмежування від інших видів судової юрисдикції надає Верховний Суд України у своєму інформаційному листі від 26.12.2005 р. № 3.2. -2005, однак, як показує судова практика, цього недостатньо аби суди не стикалися із згаданою проблемою.</w:t>
      </w:r>
    </w:p>
    <w:p>
      <w:pPr>
        <w:pStyle w:val="Style17"/>
        <w:widowControl/>
        <w:overflowPunct w:val="true"/>
        <w:bidi w:val="0"/>
        <w:spacing w:lineRule="auto" w:line="360" w:before="0" w:after="0"/>
        <w:ind w:left="0" w:right="0" w:firstLine="680"/>
        <w:jc w:val="both"/>
        <w:rPr>
          <w:b w:val="false"/>
          <w:b w:val="false"/>
          <w:bCs w:val="false"/>
        </w:rPr>
      </w:pPr>
      <w:r>
        <w:rPr>
          <w:rFonts w:ascii="Times New Roman" w:hAnsi="Times New Roman"/>
          <w:b w:val="false"/>
          <w:bCs w:val="false"/>
          <w:sz w:val="28"/>
          <w:szCs w:val="28"/>
        </w:rPr>
        <w:t>Адміністративно-юрисдикційна діяльність ґрунтується на певних принципах, які дозволяють відобразити специфіку об'єднання в ній ознак виконавчо-розпорядчої діяльності та правосуддя в адміністративних справах. Такими принципами є: законність, професіоналізм, захист інтересів держави й особи, об'єктивна істина, змагальність, офіційність, економічність тощо.</w:t>
      </w:r>
    </w:p>
    <w:p>
      <w:pPr>
        <w:pStyle w:val="Style17"/>
        <w:widowControl/>
        <w:overflowPunct w:val="true"/>
        <w:bidi w:val="0"/>
        <w:spacing w:lineRule="auto" w:line="360" w:before="0" w:after="0"/>
        <w:ind w:left="0" w:right="0" w:firstLine="680"/>
        <w:jc w:val="both"/>
        <w:rPr>
          <w:color w:val="000000"/>
        </w:rPr>
      </w:pPr>
      <w:r>
        <w:rPr>
          <w:rFonts w:eastAsia="Calibri" w:cs="Times New Roman" w:ascii="Times New Roman" w:hAnsi="Times New Roman"/>
          <w:b w:val="false"/>
          <w:bCs w:val="false"/>
          <w:color w:val="000000"/>
          <w:sz w:val="28"/>
          <w:szCs w:val="28"/>
          <w:lang w:val="uk-UA" w:eastAsia="en-US" w:bidi="ar-SA"/>
        </w:rPr>
        <w:t>Таким чином, адміністративна юрисдикція полягає в розгляді адміністративно-правових спорів, справ про адміністративні правопорушення в установленій законом адміністративно-процесуальній формі спеціально уповноваженими на те органами (посадовими особами), яких наділено правом розглядати спори та накладати адміністративні стягнення.</w:t>
      </w:r>
    </w:p>
    <w:p>
      <w:pPr>
        <w:pStyle w:val="4"/>
        <w:widowControl/>
        <w:overflowPunct w:val="true"/>
        <w:bidi w:val="0"/>
        <w:spacing w:lineRule="auto" w:line="360" w:before="0" w:after="0"/>
        <w:ind w:left="0" w:right="0" w:firstLine="680"/>
        <w:jc w:val="both"/>
        <w:rPr>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r>
    </w:p>
    <w:p>
      <w:pPr>
        <w:pStyle w:val="2"/>
        <w:widowControl/>
        <w:numPr>
          <w:ilvl w:val="0"/>
          <w:numId w:val="0"/>
        </w:numPr>
        <w:overflowPunct w:val="true"/>
        <w:bidi w:val="0"/>
        <w:spacing w:lineRule="auto" w:line="360" w:before="0" w:after="0"/>
        <w:ind w:left="720" w:right="0" w:hanging="0"/>
        <w:jc w:val="both"/>
        <w:rPr/>
      </w:pPr>
      <w:r>
        <w:rPr>
          <w:rFonts w:cs="Times New Roman"/>
          <w:sz w:val="28"/>
          <w:szCs w:val="28"/>
        </w:rPr>
        <w:t xml:space="preserve">2.2 </w:t>
      </w:r>
      <w:r>
        <w:rPr>
          <w:rFonts w:cs="Times New Roman"/>
          <w:sz w:val="28"/>
          <w:szCs w:val="28"/>
        </w:rPr>
        <w:t xml:space="preserve"> Критерії визначення юрисдикції адміністративних судів </w:t>
      </w:r>
    </w:p>
    <w:p>
      <w:pPr>
        <w:pStyle w:val="2"/>
        <w:widowControl/>
        <w:numPr>
          <w:ilvl w:val="0"/>
          <w:numId w:val="0"/>
        </w:numPr>
        <w:overflowPunct w:val="true"/>
        <w:bidi w:val="0"/>
        <w:spacing w:lineRule="auto" w:line="360" w:before="0" w:after="0"/>
        <w:ind w:left="720" w:right="0" w:hanging="0"/>
        <w:jc w:val="both"/>
        <w:rPr>
          <w:rFonts w:ascii="Times New Roman" w:hAnsi="Times New Roman" w:cs="Times New Roman"/>
          <w:sz w:val="28"/>
          <w:szCs w:val="28"/>
        </w:rPr>
      </w:pPr>
      <w:r>
        <w:rPr/>
      </w:r>
    </w:p>
    <w:p>
      <w:pPr>
        <w:pStyle w:val="Style17"/>
        <w:widowControl/>
        <w:overflowPunct w:val="true"/>
        <w:bidi w:val="0"/>
        <w:spacing w:lineRule="auto" w:line="360" w:before="0" w:after="0"/>
        <w:ind w:left="0" w:right="0" w:firstLine="680"/>
        <w:jc w:val="both"/>
        <w:rPr>
          <w:b w:val="false"/>
          <w:b w:val="false"/>
          <w:bCs w:val="false"/>
        </w:rPr>
      </w:pPr>
      <w:r>
        <w:rPr>
          <w:rFonts w:ascii="Times New Roman" w:hAnsi="Times New Roman"/>
          <w:b w:val="false"/>
          <w:bCs w:val="false"/>
          <w:sz w:val="28"/>
          <w:szCs w:val="28"/>
        </w:rPr>
        <w:t>Однією з фікцій у сучасному адміністративному процесуальному праві та практиці адміністративного судочинства є термін «адміністративна юрисдикція», законодавчо закріплений Кодексом адміністративного судочинства України (далі – КАС України). Після ухвалення КАС України 2005 року це поняття почало широко використовуватися і в науці адміністративного та адміністративного процесуального права [3].</w:t>
        <w:br/>
        <w:t>Утім, важливо наголосити, що адміністративна юрисдикція не є принципово новою для вітчизняної процесуальної науки й законодавства, позаяк ще до повноцінного запровадження в Україні інституту адміністративної юстиції у Основному законі України, цивільному та господарському процесах уже зустрічалися подібні механізми відмежування правових спорів між судами загальної юрисдикції.</w:t>
      </w:r>
    </w:p>
    <w:p>
      <w:pPr>
        <w:pStyle w:val="Style17"/>
        <w:widowControl/>
        <w:overflowPunct w:val="true"/>
        <w:bidi w:val="0"/>
        <w:spacing w:lineRule="auto" w:line="360" w:before="0" w:after="0"/>
        <w:ind w:left="0" w:right="0" w:firstLine="680"/>
        <w:jc w:val="both"/>
        <w:rPr>
          <w:b w:val="false"/>
          <w:b w:val="false"/>
          <w:bCs w:val="false"/>
        </w:rPr>
      </w:pPr>
      <w:r>
        <w:rPr>
          <w:rFonts w:ascii="Times New Roman" w:hAnsi="Times New Roman"/>
          <w:b w:val="false"/>
          <w:bCs w:val="false"/>
          <w:sz w:val="28"/>
          <w:szCs w:val="28"/>
        </w:rPr>
        <w:t xml:space="preserve">Офіційному закріпленню категорії «адміністративна юрисдикція» передувало конституційне положення про юрисдикцію судів (ст. 124 Конституції України) [4] і використання у цивільному та господарському процесах понять «компетенція» й «підвідомчість» </w:t>
      </w:r>
      <w:r>
        <w:rPr>
          <w:rFonts w:ascii="Times New Roman" w:hAnsi="Times New Roman"/>
          <w:b w:val="false"/>
          <w:bCs w:val="false"/>
          <w:color w:val="FF0000"/>
          <w:sz w:val="28"/>
          <w:szCs w:val="28"/>
        </w:rPr>
        <w:t>[5]</w:t>
      </w:r>
      <w:r>
        <w:rPr>
          <w:rFonts w:ascii="Times New Roman" w:hAnsi="Times New Roman"/>
          <w:b w:val="false"/>
          <w:bCs w:val="false"/>
          <w:sz w:val="28"/>
          <w:szCs w:val="28"/>
        </w:rPr>
        <w:t>.</w:t>
      </w:r>
    </w:p>
    <w:p>
      <w:pPr>
        <w:pStyle w:val="Style17"/>
        <w:widowControl/>
        <w:overflowPunct w:val="true"/>
        <w:bidi w:val="0"/>
        <w:spacing w:lineRule="auto" w:line="360" w:before="0" w:after="0"/>
        <w:ind w:left="0" w:right="0" w:firstLine="680"/>
        <w:jc w:val="both"/>
        <w:rPr>
          <w:b w:val="false"/>
          <w:b w:val="false"/>
          <w:bCs w:val="false"/>
        </w:rPr>
      </w:pPr>
      <w:r>
        <w:rPr>
          <w:rFonts w:ascii="Times New Roman" w:hAnsi="Times New Roman"/>
          <w:b w:val="false"/>
          <w:bCs w:val="false"/>
          <w:sz w:val="28"/>
          <w:szCs w:val="28"/>
        </w:rPr>
        <w:t>Однак з ухваленням Цивільного процесуального кодексу України у 2004 році і в практику діяльності судів загальної юрисдикції, котрі спеціалізуються на розгляді цивільних, житлових, земельних, сімейних, трудових справ, і в науковий обіг вперше безпосередньо було введено категорію «юрисдикція».</w:t>
        <w:br/>
        <w:t>Наукові, довідково-енциклопедичні та інші видання юрисдикцію (лат. jurisdictio − судомовлення, сфера поширення закону) тлумачать як предметну компетенцію судового чи іншого юрисдикційного органу, наділеного повноваженнями щодо розмежування юридичних справ. Для прикладу, цивільна судова юрисдикція − нормативно визначена компетенція суду щодо розгляду справ про захист порушених, невизнаних чи оспорюваних прав, свобод чи інтересів</w:t>
      </w:r>
      <w:r>
        <w:rPr>
          <w:rFonts w:ascii="Times New Roman" w:hAnsi="Times New Roman"/>
          <w:b w:val="false"/>
          <w:bCs w:val="false"/>
          <w:color w:val="000000"/>
          <w:sz w:val="28"/>
          <w:szCs w:val="28"/>
        </w:rPr>
        <w:t xml:space="preserve"> [</w:t>
      </w:r>
      <w:r>
        <w:rPr>
          <w:rFonts w:ascii="Times New Roman" w:hAnsi="Times New Roman"/>
          <w:b w:val="false"/>
          <w:bCs w:val="false"/>
          <w:color w:val="000000"/>
          <w:sz w:val="28"/>
          <w:szCs w:val="28"/>
        </w:rPr>
        <w:t>1</w:t>
      </w:r>
      <w:r>
        <w:rPr>
          <w:rFonts w:ascii="Times New Roman" w:hAnsi="Times New Roman"/>
          <w:b w:val="false"/>
          <w:bCs w:val="false"/>
          <w:color w:val="000000"/>
          <w:sz w:val="28"/>
          <w:szCs w:val="28"/>
        </w:rPr>
        <w:t>6].</w:t>
      </w:r>
      <w:r>
        <w:rPr>
          <w:rFonts w:ascii="Times New Roman" w:hAnsi="Times New Roman"/>
          <w:b w:val="false"/>
          <w:bCs w:val="false"/>
          <w:sz w:val="28"/>
          <w:szCs w:val="28"/>
        </w:rPr>
        <w:t xml:space="preserve"> Судова юрисдикція визначається також структурно-функціональним характером судової влади і розмежовує компетенцію її органів у межах сфери їх діяльності та існуючої судової системи. Юрисдикція визначає також діяльність судів першої, апеляційної та касаційної інстанцій, а також сферу дії загальних та спеціалізованих судів </w:t>
      </w:r>
      <w:r>
        <w:rPr>
          <w:rFonts w:ascii="Times New Roman" w:hAnsi="Times New Roman"/>
          <w:b w:val="false"/>
          <w:bCs w:val="false"/>
          <w:color w:val="000000"/>
          <w:sz w:val="28"/>
          <w:szCs w:val="28"/>
        </w:rPr>
        <w:t>[</w:t>
      </w:r>
      <w:r>
        <w:rPr>
          <w:rFonts w:ascii="Times New Roman" w:hAnsi="Times New Roman"/>
          <w:b w:val="false"/>
          <w:bCs w:val="false"/>
          <w:color w:val="000000"/>
          <w:sz w:val="28"/>
          <w:szCs w:val="28"/>
        </w:rPr>
        <w:t>2</w:t>
      </w:r>
      <w:r>
        <w:rPr>
          <w:rFonts w:ascii="Times New Roman" w:hAnsi="Times New Roman"/>
          <w:b w:val="false"/>
          <w:bCs w:val="false"/>
          <w:color w:val="000000"/>
          <w:sz w:val="28"/>
          <w:szCs w:val="28"/>
        </w:rPr>
        <w:t>7].</w:t>
      </w:r>
    </w:p>
    <w:p>
      <w:pPr>
        <w:pStyle w:val="Style17"/>
        <w:widowControl/>
        <w:overflowPunct w:val="true"/>
        <w:bidi w:val="0"/>
        <w:spacing w:lineRule="auto" w:line="360" w:before="0" w:after="0"/>
        <w:ind w:left="0" w:right="0" w:firstLine="680"/>
        <w:jc w:val="both"/>
        <w:rPr>
          <w:b w:val="false"/>
          <w:b w:val="false"/>
          <w:bCs w:val="false"/>
        </w:rPr>
      </w:pPr>
      <w:r>
        <w:rPr>
          <w:rFonts w:ascii="Times New Roman" w:hAnsi="Times New Roman"/>
          <w:b w:val="false"/>
          <w:bCs w:val="false"/>
          <w:sz w:val="28"/>
          <w:szCs w:val="28"/>
        </w:rPr>
        <w:t>Але з запровадженням нових конструкцій, зокрема і терміна «адміністративна юрисдикція», стало очевидним, що сучасна наука адміністративного права України (переобтяжена архаїчними, а тому – регресивними надбаннями й уявленнями науки радянського й пострадянського адміністративного права) нині не здатна належним чином обґрунтувати новації адміністративного процесуального законодавства.</w:t>
      </w:r>
    </w:p>
    <w:p>
      <w:pPr>
        <w:pStyle w:val="Style17"/>
        <w:widowControl/>
        <w:overflowPunct w:val="true"/>
        <w:bidi w:val="0"/>
        <w:spacing w:lineRule="auto" w:line="360" w:before="0" w:after="0"/>
        <w:ind w:left="0" w:right="0" w:firstLine="680"/>
        <w:jc w:val="both"/>
        <w:rPr>
          <w:b w:val="false"/>
          <w:b w:val="false"/>
          <w:bCs w:val="false"/>
        </w:rPr>
      </w:pPr>
      <w:r>
        <w:rPr>
          <w:rFonts w:ascii="Times New Roman" w:hAnsi="Times New Roman"/>
          <w:b w:val="false"/>
          <w:bCs w:val="false"/>
          <w:sz w:val="28"/>
          <w:szCs w:val="28"/>
        </w:rPr>
        <w:t xml:space="preserve">Сьогодні адміністративне процесуальне законодавство у розвитку випереджає науку адміністративного права, якій також бракує потенціалу достоту обґрунтувати поняття, сутність, критерії адміністративної юрисдикції </w:t>
      </w:r>
      <w:r>
        <w:rPr>
          <w:rFonts w:ascii="Times New Roman" w:hAnsi="Times New Roman"/>
          <w:b w:val="false"/>
          <w:bCs w:val="false"/>
          <w:color w:val="000000"/>
          <w:sz w:val="28"/>
          <w:szCs w:val="28"/>
        </w:rPr>
        <w:t>[</w:t>
      </w:r>
      <w:r>
        <w:rPr>
          <w:rFonts w:ascii="Times New Roman" w:hAnsi="Times New Roman"/>
          <w:b w:val="false"/>
          <w:bCs w:val="false"/>
          <w:color w:val="000000"/>
          <w:sz w:val="28"/>
          <w:szCs w:val="28"/>
        </w:rPr>
        <w:t>2</w:t>
      </w:r>
      <w:r>
        <w:rPr>
          <w:rFonts w:ascii="Times New Roman" w:hAnsi="Times New Roman"/>
          <w:b w:val="false"/>
          <w:bCs w:val="false"/>
          <w:color w:val="000000"/>
          <w:sz w:val="28"/>
          <w:szCs w:val="28"/>
        </w:rPr>
        <w:t>8].</w:t>
      </w:r>
    </w:p>
    <w:p>
      <w:pPr>
        <w:pStyle w:val="Style17"/>
        <w:widowControl/>
        <w:overflowPunct w:val="true"/>
        <w:bidi w:val="0"/>
        <w:spacing w:lineRule="auto" w:line="360" w:before="0" w:after="0"/>
        <w:ind w:left="0" w:right="0" w:firstLine="680"/>
        <w:jc w:val="both"/>
        <w:rPr>
          <w:b w:val="false"/>
          <w:b w:val="false"/>
          <w:bCs w:val="false"/>
        </w:rPr>
      </w:pPr>
      <w:r>
        <w:rPr>
          <w:rFonts w:ascii="Times New Roman" w:hAnsi="Times New Roman"/>
          <w:b w:val="false"/>
          <w:bCs w:val="false"/>
          <w:sz w:val="28"/>
          <w:szCs w:val="28"/>
        </w:rPr>
        <w:t>Важливо, що попри винятково, як може видатися, процесуальну сутність адміністративної юрисдикції, вона ґрунтується й на категоріях матеріального права − адміністративного. Тож на наше переконання, відповідь стосовно істинної сутності й ідентифікації такого процесуального інституту, як адміністративна юрисдикція, слід шукати у вимірі адміністративно-правової науки.</w:t>
        <w:br/>
        <w:t xml:space="preserve">Таким чином, досліджуючи природу адміністративної юрисдикції, ми маємо виходити з того, що: </w:t>
      </w:r>
    </w:p>
    <w:p>
      <w:pPr>
        <w:pStyle w:val="Style17"/>
        <w:widowControl/>
        <w:overflowPunct w:val="true"/>
        <w:bidi w:val="0"/>
        <w:spacing w:lineRule="auto" w:line="360" w:before="0" w:after="0"/>
        <w:ind w:left="0" w:right="0" w:firstLine="680"/>
        <w:jc w:val="both"/>
        <w:rPr>
          <w:b w:val="false"/>
          <w:b w:val="false"/>
          <w:bCs w:val="false"/>
        </w:rPr>
      </w:pPr>
      <w:r>
        <w:rPr>
          <w:rFonts w:ascii="Times New Roman" w:hAnsi="Times New Roman"/>
          <w:b w:val="false"/>
          <w:bCs w:val="false"/>
          <w:sz w:val="28"/>
          <w:szCs w:val="28"/>
        </w:rPr>
        <w:t>1) вона заснована на нормах конституційного права, а тому має насамперед конституційну природу;</w:t>
      </w:r>
    </w:p>
    <w:p>
      <w:pPr>
        <w:pStyle w:val="Style17"/>
        <w:widowControl/>
        <w:overflowPunct w:val="true"/>
        <w:bidi w:val="0"/>
        <w:spacing w:lineRule="auto" w:line="360" w:before="0" w:after="0"/>
        <w:ind w:left="0" w:right="0" w:firstLine="680"/>
        <w:jc w:val="both"/>
        <w:rPr>
          <w:b w:val="false"/>
          <w:b w:val="false"/>
          <w:bCs w:val="false"/>
        </w:rPr>
      </w:pPr>
      <w:r>
        <w:rPr>
          <w:rFonts w:ascii="Times New Roman" w:hAnsi="Times New Roman"/>
          <w:b w:val="false"/>
          <w:bCs w:val="false"/>
          <w:sz w:val="28"/>
          <w:szCs w:val="28"/>
        </w:rPr>
        <w:t>2) це один із традиційних процесуальних інститутів, свого часу певним чином обґрунтований цивільною (господарською) процесуальною наукою;</w:t>
      </w:r>
    </w:p>
    <w:p>
      <w:pPr>
        <w:pStyle w:val="Style17"/>
        <w:widowControl/>
        <w:overflowPunct w:val="true"/>
        <w:bidi w:val="0"/>
        <w:spacing w:lineRule="auto" w:line="360" w:before="0" w:after="0"/>
        <w:ind w:left="0" w:right="0" w:firstLine="680"/>
        <w:jc w:val="both"/>
        <w:rPr>
          <w:b w:val="false"/>
          <w:b w:val="false"/>
          <w:bCs w:val="false"/>
        </w:rPr>
      </w:pPr>
      <w:r>
        <w:rPr>
          <w:rFonts w:ascii="Times New Roman" w:hAnsi="Times New Roman"/>
          <w:b w:val="false"/>
          <w:bCs w:val="false"/>
          <w:sz w:val="28"/>
          <w:szCs w:val="28"/>
        </w:rPr>
        <w:t>3) це інститут адміністративного процесуального права, який розроблений та має використовуватися винятково з урахуванням сучасних (передових) положень адміністративно-правової науки.</w:t>
      </w:r>
    </w:p>
    <w:p>
      <w:pPr>
        <w:pStyle w:val="Style17"/>
        <w:widowControl/>
        <w:overflowPunct w:val="true"/>
        <w:bidi w:val="0"/>
        <w:spacing w:lineRule="auto" w:line="360" w:before="0" w:after="0"/>
        <w:ind w:left="0" w:right="0" w:firstLine="680"/>
        <w:jc w:val="both"/>
        <w:rPr>
          <w:b w:val="false"/>
          <w:b w:val="false"/>
          <w:bCs w:val="false"/>
        </w:rPr>
      </w:pPr>
      <w:r>
        <w:rPr>
          <w:rFonts w:ascii="Times New Roman" w:hAnsi="Times New Roman"/>
          <w:b w:val="false"/>
          <w:bCs w:val="false"/>
          <w:sz w:val="28"/>
          <w:szCs w:val="28"/>
        </w:rPr>
        <w:t>Ґрунтовне пізнання адміністративної юрисдикції має засновуватися на всебічному розумінні закономірностей і взаємозвʼязків конституційного права, процесуального права (цивільного процесуального права, господарського процесуального права), адміністративного права.</w:t>
      </w:r>
    </w:p>
    <w:p>
      <w:pPr>
        <w:pStyle w:val="Style17"/>
        <w:widowControl/>
        <w:overflowPunct w:val="true"/>
        <w:bidi w:val="0"/>
        <w:spacing w:lineRule="auto" w:line="360" w:before="0" w:after="0"/>
        <w:ind w:left="0" w:right="0" w:firstLine="680"/>
        <w:jc w:val="both"/>
        <w:rPr>
          <w:b w:val="false"/>
          <w:b w:val="false"/>
          <w:bCs w:val="false"/>
        </w:rPr>
      </w:pPr>
      <w:r>
        <w:rPr>
          <w:rFonts w:ascii="Times New Roman" w:hAnsi="Times New Roman"/>
          <w:b w:val="false"/>
          <w:bCs w:val="false"/>
          <w:sz w:val="28"/>
          <w:szCs w:val="28"/>
        </w:rPr>
        <w:t>Отже, з становленням вітчизняного інституту адміністративної юстиції та законодавчим закріпленням системи адміністративних судів виникли деякі процесуальні проблеми у вчиненні правосуддя щодо адміністративних справ.</w:t>
      </w:r>
    </w:p>
    <w:p>
      <w:pPr>
        <w:pStyle w:val="Style17"/>
        <w:widowControl/>
        <w:overflowPunct w:val="true"/>
        <w:bidi w:val="0"/>
        <w:spacing w:lineRule="auto" w:line="360" w:before="0" w:after="0"/>
        <w:ind w:left="0" w:right="0" w:firstLine="680"/>
        <w:jc w:val="both"/>
        <w:rPr>
          <w:b w:val="false"/>
          <w:b w:val="false"/>
          <w:bCs w:val="false"/>
        </w:rPr>
      </w:pPr>
      <w:r>
        <w:rPr>
          <w:rFonts w:ascii="Times New Roman" w:hAnsi="Times New Roman"/>
          <w:b w:val="false"/>
          <w:bCs w:val="false"/>
          <w:sz w:val="28"/>
          <w:szCs w:val="28"/>
        </w:rPr>
        <w:t xml:space="preserve">У звʼязку з прийняттям Кодексу адміністративного судочинства України, в якому закріплено чимало нових положень концептуального характеру, постала необхідність їх тлумачення, визначення сутності та особливостей змісту окремих процесуально-правових інститутів. Так, створення адміністративних судів у системі судів загальної юрисдикції обумовило потребу чіткого визначення критеріїв адміністративної юрисдикції </w:t>
      </w:r>
      <w:r>
        <w:rPr>
          <w:rFonts w:ascii="Times New Roman" w:hAnsi="Times New Roman"/>
          <w:b w:val="false"/>
          <w:bCs w:val="false"/>
          <w:color w:val="1C1C1C"/>
          <w:sz w:val="28"/>
          <w:szCs w:val="28"/>
        </w:rPr>
        <w:t>[</w:t>
      </w:r>
      <w:r>
        <w:rPr>
          <w:rFonts w:ascii="Times New Roman" w:hAnsi="Times New Roman"/>
          <w:b w:val="false"/>
          <w:bCs w:val="false"/>
          <w:color w:val="1C1C1C"/>
          <w:sz w:val="28"/>
          <w:szCs w:val="28"/>
        </w:rPr>
        <w:t>1</w:t>
      </w:r>
      <w:r>
        <w:rPr>
          <w:rFonts w:ascii="Times New Roman" w:hAnsi="Times New Roman"/>
          <w:b w:val="false"/>
          <w:bCs w:val="false"/>
          <w:color w:val="1C1C1C"/>
          <w:sz w:val="28"/>
          <w:szCs w:val="28"/>
        </w:rPr>
        <w:t>9].</w:t>
      </w:r>
    </w:p>
    <w:p>
      <w:pPr>
        <w:pStyle w:val="Style17"/>
        <w:widowControl/>
        <w:overflowPunct w:val="true"/>
        <w:bidi w:val="0"/>
        <w:spacing w:lineRule="auto" w:line="360" w:before="0" w:after="0"/>
        <w:ind w:left="0" w:right="0" w:firstLine="680"/>
        <w:jc w:val="both"/>
        <w:rPr>
          <w:b w:val="false"/>
          <w:b w:val="false"/>
          <w:bCs w:val="false"/>
        </w:rPr>
      </w:pPr>
      <w:r>
        <w:rPr>
          <w:rFonts w:ascii="Times New Roman" w:hAnsi="Times New Roman"/>
          <w:b w:val="false"/>
          <w:bCs w:val="false"/>
          <w:sz w:val="28"/>
          <w:szCs w:val="28"/>
        </w:rPr>
        <w:t>Потреба визначення й розмежування юрисдикції між адміністративними та іншими судами загальної і конституційної юрисдикції обумовлена тим, що судді на основі чинного процесуального законодавства не завжди однозначно і правильно визначають належність конкретного публічно-правового спору до відповідного суду. Про актуальність теми підвідомчості публічно-правових спорів свідчить також значна кількість праць вчених-правників, наявність численної кількості розʼяснень вищих судових інстанцій про особливості розмежування компетенції спеціалізованих судів.</w:t>
      </w:r>
    </w:p>
    <w:p>
      <w:pPr>
        <w:pStyle w:val="Style17"/>
        <w:widowControl/>
        <w:overflowPunct w:val="true"/>
        <w:bidi w:val="0"/>
        <w:spacing w:lineRule="auto" w:line="360" w:before="0" w:after="0"/>
        <w:ind w:left="0" w:right="0" w:firstLine="680"/>
        <w:jc w:val="both"/>
        <w:rPr>
          <w:b w:val="false"/>
          <w:b w:val="false"/>
          <w:bCs w:val="false"/>
        </w:rPr>
      </w:pPr>
      <w:r>
        <w:rPr>
          <w:rFonts w:ascii="Times New Roman" w:hAnsi="Times New Roman"/>
          <w:b w:val="false"/>
          <w:bCs w:val="false"/>
          <w:sz w:val="28"/>
          <w:szCs w:val="28"/>
        </w:rPr>
        <w:t xml:space="preserve">Вважаємо, що для визначення адміністративної юрисдикції необхідно враховувати наявність та зміст таких критеріїв, як: </w:t>
      </w:r>
    </w:p>
    <w:p>
      <w:pPr>
        <w:pStyle w:val="Style17"/>
        <w:widowControl/>
        <w:overflowPunct w:val="true"/>
        <w:bidi w:val="0"/>
        <w:spacing w:lineRule="auto" w:line="360" w:before="0" w:after="0"/>
        <w:ind w:left="0" w:right="0" w:firstLine="680"/>
        <w:jc w:val="both"/>
        <w:rPr>
          <w:b w:val="false"/>
          <w:b w:val="false"/>
          <w:bCs w:val="false"/>
        </w:rPr>
      </w:pPr>
      <w:r>
        <w:rPr>
          <w:rFonts w:ascii="Times New Roman" w:hAnsi="Times New Roman"/>
          <w:b w:val="false"/>
          <w:bCs w:val="false"/>
          <w:sz w:val="28"/>
          <w:szCs w:val="28"/>
        </w:rPr>
        <w:t>1) спір про право;</w:t>
      </w:r>
    </w:p>
    <w:p>
      <w:pPr>
        <w:pStyle w:val="Style17"/>
        <w:widowControl/>
        <w:overflowPunct w:val="true"/>
        <w:bidi w:val="0"/>
        <w:spacing w:lineRule="auto" w:line="360" w:before="0" w:after="0"/>
        <w:ind w:left="0" w:right="0" w:firstLine="680"/>
        <w:jc w:val="both"/>
        <w:rPr>
          <w:b w:val="false"/>
          <w:b w:val="false"/>
          <w:bCs w:val="false"/>
        </w:rPr>
      </w:pPr>
      <w:r>
        <w:rPr>
          <w:rFonts w:ascii="Times New Roman" w:hAnsi="Times New Roman"/>
          <w:b w:val="false"/>
          <w:bCs w:val="false"/>
          <w:sz w:val="28"/>
          <w:szCs w:val="28"/>
        </w:rPr>
        <w:t>2) субʼєктний склад публічно-правових відносин;</w:t>
      </w:r>
    </w:p>
    <w:p>
      <w:pPr>
        <w:pStyle w:val="Style17"/>
        <w:widowControl/>
        <w:overflowPunct w:val="true"/>
        <w:bidi w:val="0"/>
        <w:spacing w:lineRule="auto" w:line="360" w:before="0" w:after="0"/>
        <w:ind w:left="0" w:right="0" w:firstLine="680"/>
        <w:jc w:val="both"/>
        <w:rPr>
          <w:b w:val="false"/>
          <w:b w:val="false"/>
          <w:bCs w:val="false"/>
        </w:rPr>
      </w:pPr>
      <w:r>
        <w:rPr>
          <w:rFonts w:ascii="Times New Roman" w:hAnsi="Times New Roman"/>
          <w:b w:val="false"/>
          <w:bCs w:val="false"/>
          <w:sz w:val="28"/>
          <w:szCs w:val="28"/>
        </w:rPr>
        <w:t>3) наявність публічно-правових відносин;</w:t>
      </w:r>
    </w:p>
    <w:p>
      <w:pPr>
        <w:pStyle w:val="Style17"/>
        <w:widowControl/>
        <w:overflowPunct w:val="true"/>
        <w:bidi w:val="0"/>
        <w:spacing w:lineRule="auto" w:line="360" w:before="0" w:after="0"/>
        <w:ind w:left="0" w:right="0" w:firstLine="680"/>
        <w:jc w:val="both"/>
        <w:rPr>
          <w:b w:val="false"/>
          <w:b w:val="false"/>
          <w:bCs w:val="false"/>
        </w:rPr>
      </w:pPr>
      <w:r>
        <w:rPr>
          <w:rFonts w:ascii="Times New Roman" w:hAnsi="Times New Roman"/>
          <w:b w:val="false"/>
          <w:bCs w:val="false"/>
          <w:sz w:val="28"/>
          <w:szCs w:val="28"/>
        </w:rPr>
        <w:t>4) наявність публічного інтересу.</w:t>
      </w:r>
    </w:p>
    <w:p>
      <w:pPr>
        <w:pStyle w:val="Style17"/>
        <w:widowControl/>
        <w:overflowPunct w:val="true"/>
        <w:bidi w:val="0"/>
        <w:spacing w:lineRule="auto" w:line="360" w:before="0" w:after="0"/>
        <w:ind w:left="0" w:right="0" w:firstLine="680"/>
        <w:jc w:val="both"/>
        <w:rPr>
          <w:b w:val="false"/>
          <w:b w:val="false"/>
          <w:bCs w:val="false"/>
        </w:rPr>
      </w:pPr>
      <w:r>
        <w:rPr>
          <w:rFonts w:ascii="Times New Roman" w:hAnsi="Times New Roman"/>
          <w:b w:val="false"/>
          <w:bCs w:val="false"/>
          <w:sz w:val="28"/>
          <w:szCs w:val="28"/>
        </w:rPr>
        <w:t>Варто зауважити, що загалом ці критерії однаковою мірою характерні для усіх публічно-правових спорів, які можуть розглядатися судами загальної та конституційної юрисдикції. Проте відмінність цих критеріїв полягає, по-перше, у їх змісті, по-друге, у підставах їх виникнення.</w:t>
      </w:r>
    </w:p>
    <w:p>
      <w:pPr>
        <w:pStyle w:val="Style17"/>
        <w:widowControl/>
        <w:overflowPunct w:val="true"/>
        <w:bidi w:val="0"/>
        <w:spacing w:lineRule="auto" w:line="360" w:before="0" w:after="0"/>
        <w:ind w:left="0" w:right="0" w:firstLine="680"/>
        <w:jc w:val="both"/>
        <w:rPr>
          <w:b w:val="false"/>
          <w:b w:val="false"/>
          <w:bCs w:val="false"/>
        </w:rPr>
      </w:pPr>
      <w:r>
        <w:rPr>
          <w:rFonts w:ascii="Times New Roman" w:hAnsi="Times New Roman"/>
          <w:b w:val="false"/>
          <w:bCs w:val="false"/>
          <w:sz w:val="28"/>
          <w:szCs w:val="28"/>
        </w:rPr>
        <w:t>Перебуваючи у певних правовідносинах, їх субʼєкти користуються наданими правами, дотримуються певних обовʼязків. Однак не завжди реалізація субʼєктами публічно-правових відносин своїх повноважень відбувається безперешкодно, нерідко інтереси одних субʼєктів суперечать інтересам інших учасників правовідносин. Тому колізія правових інтересів обумовлює виникнення спорів щодо можливості та порядку реалізації тих чи інших прав, дотримання обовʼязків.</w:t>
      </w:r>
    </w:p>
    <w:p>
      <w:pPr>
        <w:pStyle w:val="Style17"/>
        <w:widowControl/>
        <w:overflowPunct w:val="true"/>
        <w:bidi w:val="0"/>
        <w:spacing w:lineRule="auto" w:line="360" w:before="0" w:after="0"/>
        <w:ind w:left="0" w:right="0" w:firstLine="680"/>
        <w:jc w:val="both"/>
        <w:rPr>
          <w:b w:val="false"/>
          <w:b w:val="false"/>
          <w:bCs w:val="false"/>
        </w:rPr>
      </w:pPr>
      <w:r>
        <w:rPr>
          <w:rFonts w:ascii="Times New Roman" w:hAnsi="Times New Roman"/>
          <w:b w:val="false"/>
          <w:bCs w:val="false"/>
          <w:color w:val="000000"/>
          <w:sz w:val="28"/>
          <w:szCs w:val="28"/>
        </w:rPr>
        <w:t>Розглядаючи перший критерій адміністративної юрисдикції,</w:t>
      </w:r>
      <w:r>
        <w:rPr>
          <w:rFonts w:ascii="Times New Roman" w:hAnsi="Times New Roman"/>
          <w:b w:val="false"/>
          <w:bCs w:val="false"/>
          <w:color w:val="000000"/>
          <w:sz w:val="28"/>
          <w:szCs w:val="28"/>
        </w:rPr>
        <w:t xml:space="preserve"> –</w:t>
      </w:r>
      <w:r>
        <w:rPr>
          <w:rFonts w:ascii="Times New Roman" w:hAnsi="Times New Roman"/>
          <w:b w:val="false"/>
          <w:bCs w:val="false"/>
          <w:sz w:val="28"/>
          <w:szCs w:val="28"/>
        </w:rPr>
        <w:t xml:space="preserve"> спір про право, який підвідомчий адміністративному суду, варто мати на увазі, що цей спір безпосередньо повʼязаний із публічно-правовими відносинами. Такий висновок можна зробити, проаналізувавши, зокрема положення ч. 1 ст. 2, ч. 2 ст. 17 КАС України, згідно з якими юрисдикція адміністративних судів поширюється на публічно-правові спори (публічно-правові відносини) </w:t>
      </w:r>
      <w:r>
        <w:rPr>
          <w:rFonts w:ascii="Times New Roman" w:hAnsi="Times New Roman"/>
          <w:b w:val="false"/>
          <w:bCs w:val="false"/>
          <w:color w:val="1C1C1C"/>
          <w:sz w:val="28"/>
          <w:szCs w:val="28"/>
        </w:rPr>
        <w:t>[10].</w:t>
      </w:r>
    </w:p>
    <w:p>
      <w:pPr>
        <w:pStyle w:val="Style17"/>
        <w:widowControl/>
        <w:overflowPunct w:val="true"/>
        <w:bidi w:val="0"/>
        <w:spacing w:lineRule="auto" w:line="360" w:before="0" w:after="0"/>
        <w:ind w:left="0" w:right="0" w:firstLine="680"/>
        <w:jc w:val="both"/>
        <w:rPr>
          <w:b w:val="false"/>
          <w:b w:val="false"/>
          <w:bCs w:val="false"/>
        </w:rPr>
      </w:pPr>
      <w:r>
        <w:rPr>
          <w:rFonts w:ascii="Times New Roman" w:hAnsi="Times New Roman"/>
          <w:b w:val="false"/>
          <w:bCs w:val="false"/>
          <w:sz w:val="28"/>
          <w:szCs w:val="28"/>
        </w:rPr>
        <w:t>Вважаємо, що у ч. 2 ст. 2 КАС України досить чітко виписані підстави виникнення адміністративних спорів – це будь-які рішення, дії чи бездіяльність субʼєктів владних повноважень, крім випадків, коли щодо таких рішень, дій чи бездіяльності Конституцією чи законами України встановлено інший порядок судового провадження</w:t>
      </w:r>
      <w:r>
        <w:rPr>
          <w:rFonts w:ascii="Times New Roman" w:hAnsi="Times New Roman"/>
          <w:b w:val="false"/>
          <w:bCs w:val="false"/>
          <w:color w:val="FF0000"/>
          <w:sz w:val="28"/>
          <w:szCs w:val="28"/>
        </w:rPr>
        <w:t>.</w:t>
      </w:r>
    </w:p>
    <w:p>
      <w:pPr>
        <w:pStyle w:val="Style17"/>
        <w:widowControl/>
        <w:overflowPunct w:val="true"/>
        <w:bidi w:val="0"/>
        <w:spacing w:lineRule="auto" w:line="360" w:before="0" w:after="0"/>
        <w:ind w:left="0" w:right="0" w:firstLine="680"/>
        <w:jc w:val="both"/>
        <w:rPr>
          <w:b w:val="false"/>
          <w:b w:val="false"/>
          <w:bCs w:val="false"/>
        </w:rPr>
      </w:pPr>
      <w:r>
        <w:rPr>
          <w:rFonts w:ascii="Times New Roman" w:hAnsi="Times New Roman"/>
          <w:b w:val="false"/>
          <w:bCs w:val="false"/>
          <w:sz w:val="28"/>
          <w:szCs w:val="28"/>
        </w:rPr>
        <w:t xml:space="preserve">Отже, по-перше, правові спори, що виникли внаслідок існування таких відносин, за своєю суттю є публічно-правовими. У своїй сукупності публічно-правові відносини утворюють предмет права, яким є відносини, що виникають у звʼязку із здійсненням управлінського та регулюючого впливу на економічну, соціально-культурну та адміністративно-політичну сфери суспільного життя [11]. Однак предмет адміністративного права утворюють також відносини щодо: 1) функцій сервісно-обслуговуючого змісту; 2) функцій загальноорганізаційного змісту; 3) заходів адміністративно-примусового змісту; 4) укладання та виконання адміністративних договорів </w:t>
      </w:r>
      <w:r>
        <w:rPr>
          <w:rFonts w:ascii="Times New Roman" w:hAnsi="Times New Roman"/>
          <w:b w:val="false"/>
          <w:bCs w:val="false"/>
          <w:color w:val="1C1C1C"/>
          <w:sz w:val="28"/>
          <w:szCs w:val="28"/>
        </w:rPr>
        <w:t>[12].</w:t>
      </w:r>
    </w:p>
    <w:p>
      <w:pPr>
        <w:pStyle w:val="Style17"/>
        <w:widowControl/>
        <w:overflowPunct w:val="true"/>
        <w:bidi w:val="0"/>
        <w:spacing w:lineRule="auto" w:line="360" w:before="0" w:after="0"/>
        <w:ind w:left="0" w:right="0" w:firstLine="680"/>
        <w:jc w:val="both"/>
        <w:rPr>
          <w:b w:val="false"/>
          <w:b w:val="false"/>
          <w:bCs w:val="false"/>
        </w:rPr>
      </w:pPr>
      <w:r>
        <w:rPr>
          <w:rFonts w:ascii="Times New Roman" w:hAnsi="Times New Roman"/>
          <w:b w:val="false"/>
          <w:bCs w:val="false"/>
          <w:sz w:val="28"/>
          <w:szCs w:val="28"/>
        </w:rPr>
        <w:t>По-друге, саме предмет адміністративного права дозволяє однозначно визначити належність певного правового спору до компетенції адміністративного суду, а тому зміст цього предмета має враховуватися при розподілі правових спорів між спеціалізованими судами України.</w:t>
        <w:br/>
      </w:r>
      <w:r>
        <w:rPr>
          <w:rFonts w:ascii="Times New Roman" w:hAnsi="Times New Roman"/>
          <w:b w:val="false"/>
          <w:bCs w:val="false"/>
          <w:color w:val="000000"/>
          <w:sz w:val="28"/>
          <w:szCs w:val="28"/>
        </w:rPr>
        <w:t xml:space="preserve">Аналізуючи другий критерій, </w:t>
      </w:r>
      <w:r>
        <w:rPr>
          <w:rFonts w:ascii="Times New Roman" w:hAnsi="Times New Roman"/>
          <w:b w:val="false"/>
          <w:bCs w:val="false"/>
          <w:color w:val="000000"/>
          <w:sz w:val="28"/>
          <w:szCs w:val="28"/>
        </w:rPr>
        <w:t>п</w:t>
      </w:r>
      <w:r>
        <w:rPr>
          <w:rFonts w:ascii="Times New Roman" w:hAnsi="Times New Roman"/>
          <w:b w:val="false"/>
          <w:bCs w:val="false"/>
          <w:sz w:val="28"/>
          <w:szCs w:val="28"/>
        </w:rPr>
        <w:t>окладений в основу визначення адміністративної юрисдикції і відмежування її від інших судових юрисдикцій, – субʼєктний склад учасників спірних відносин, – відзначимо, що з його допомогою також можна провести чітку межу між компетенцією цих судових органів.</w:t>
      </w:r>
    </w:p>
    <w:p>
      <w:pPr>
        <w:pStyle w:val="Style17"/>
        <w:widowControl/>
        <w:overflowPunct w:val="true"/>
        <w:bidi w:val="0"/>
        <w:spacing w:lineRule="auto" w:line="360" w:before="0" w:after="0"/>
        <w:ind w:left="0" w:right="0" w:firstLine="680"/>
        <w:jc w:val="both"/>
        <w:rPr>
          <w:b w:val="false"/>
          <w:b w:val="false"/>
          <w:bCs w:val="false"/>
        </w:rPr>
      </w:pPr>
      <w:r>
        <w:rPr>
          <w:rFonts w:ascii="Times New Roman" w:hAnsi="Times New Roman"/>
          <w:b w:val="false"/>
          <w:bCs w:val="false"/>
          <w:sz w:val="28"/>
          <w:szCs w:val="28"/>
        </w:rPr>
        <w:t>У правовому спорі, підвідомчому адміністративному суду, обовʼязково присутній так званий субʼєкт владних повноважень, який здійснює покладені на нього чинним законодавством завдання та функції. Оскільки поняття «субʼєкт владних повноважень» в адміністративному праві розглядається широко і неоднозначно, доцільно охарактеризувати його детальніше.</w:t>
      </w:r>
    </w:p>
    <w:p>
      <w:pPr>
        <w:pStyle w:val="Style17"/>
        <w:widowControl/>
        <w:overflowPunct w:val="true"/>
        <w:bidi w:val="0"/>
        <w:spacing w:lineRule="auto" w:line="360" w:before="0" w:after="0"/>
        <w:ind w:left="0" w:right="0" w:firstLine="680"/>
        <w:jc w:val="both"/>
        <w:rPr>
          <w:b w:val="false"/>
          <w:b w:val="false"/>
          <w:bCs w:val="false"/>
        </w:rPr>
      </w:pPr>
      <w:r>
        <w:rPr>
          <w:rFonts w:ascii="Times New Roman" w:hAnsi="Times New Roman"/>
          <w:b w:val="false"/>
          <w:bCs w:val="false"/>
          <w:sz w:val="28"/>
          <w:szCs w:val="28"/>
        </w:rPr>
        <w:t xml:space="preserve">Принципово важливим для визнання правового спору підвідомчим адміністративному суду є те, що субʼєкт владних повноважень у спірних правовідносинах обовʼязково здійснює власні або делеговані публічно-владні повноваження з метою практичного виконання положень Конституції та законів України. Так, у процесі реалізації виконавчої влади відбувається реальне втілення в життя законів та інших нормативних актів держави, практичне застосування всіх важелів державного регулювання й управління важливими процесами суспільного розвитку. Причому вирішальна спрямованість виконавчої влади полягає в утвердженні і забезпеченні прав та свобод людини як найвищої соціальної цінності </w:t>
      </w:r>
      <w:r>
        <w:rPr>
          <w:rFonts w:ascii="Times New Roman" w:hAnsi="Times New Roman"/>
          <w:b w:val="false"/>
          <w:bCs w:val="false"/>
          <w:color w:val="1C1C1C"/>
          <w:sz w:val="28"/>
          <w:szCs w:val="28"/>
        </w:rPr>
        <w:t>[13].</w:t>
      </w:r>
    </w:p>
    <w:p>
      <w:pPr>
        <w:pStyle w:val="Style17"/>
        <w:widowControl/>
        <w:overflowPunct w:val="true"/>
        <w:bidi w:val="0"/>
        <w:spacing w:lineRule="auto" w:line="360" w:before="0" w:after="0"/>
        <w:ind w:left="0" w:right="0" w:firstLine="680"/>
        <w:jc w:val="both"/>
        <w:rPr>
          <w:b w:val="false"/>
          <w:b w:val="false"/>
          <w:bCs w:val="false"/>
        </w:rPr>
      </w:pPr>
      <w:r>
        <w:rPr>
          <w:rFonts w:ascii="Times New Roman" w:hAnsi="Times New Roman"/>
          <w:b w:val="false"/>
          <w:bCs w:val="false"/>
          <w:sz w:val="28"/>
          <w:szCs w:val="28"/>
        </w:rPr>
        <w:t>Враховуючи субʼєктний склад спірних правовідносин, відзначимо, що адміністративним судам підвідомчі ті відносини, які виникають у звʼязку зі здійсненням субʼєктами владних повноважень своїх функцій (функцій державного управління, державного регулювання, функцій сервісно-обслуговуючого змісту, загальноорганізаційного змісту, здійснення заходів адміністративно-примусового змісту, укладання та виконання адміністративних договорів), які є основним змістом їх діяльності</w:t>
      </w:r>
    </w:p>
    <w:p>
      <w:pPr>
        <w:pStyle w:val="Style17"/>
        <w:widowControl/>
        <w:overflowPunct w:val="true"/>
        <w:bidi w:val="0"/>
        <w:spacing w:lineRule="auto" w:line="360" w:before="0" w:after="0"/>
        <w:ind w:left="0" w:right="0" w:firstLine="680"/>
        <w:jc w:val="both"/>
        <w:rPr>
          <w:b w:val="false"/>
          <w:b w:val="false"/>
          <w:bCs w:val="false"/>
        </w:rPr>
      </w:pPr>
      <w:r>
        <w:rPr>
          <w:rFonts w:ascii="Times New Roman" w:hAnsi="Times New Roman"/>
          <w:b w:val="false"/>
          <w:bCs w:val="false"/>
          <w:sz w:val="28"/>
          <w:szCs w:val="28"/>
        </w:rPr>
        <w:t>Юрисдикція адміністративних судів матиме місце тоді, коли виконуватиметься одна або більше функцій − функція державного управління, державного регулювання, функції сервісно-обслуговуючого змісту, загальноорганізаційного змісту, здійснення заходів адміністративно-примусового змісту, укладання та виконання адміністративних договорів.</w:t>
        <w:br/>
        <w:t>Тому якщо субʼєкт (зокрема, орган державної влади, орган місцевого самоврядування, їх посадова чи службова особа) у спірних правовідносинах не здійснює одну або більше із вказаних функцій щодо іншого субʼєкта, який є учасником спору, такий спір не має встановлених нормами КАС України ознак справи адміністративної юрисдикції і, відповідно, не повинен вирішуватися адміністративним судом</w:t>
      </w:r>
      <w:r>
        <w:rPr>
          <w:rFonts w:ascii="Times New Roman" w:hAnsi="Times New Roman"/>
          <w:b w:val="false"/>
          <w:bCs w:val="false"/>
          <w:color w:val="1C1C1C"/>
          <w:sz w:val="28"/>
          <w:szCs w:val="28"/>
        </w:rPr>
        <w:t xml:space="preserve"> [14].</w:t>
      </w:r>
    </w:p>
    <w:p>
      <w:pPr>
        <w:pStyle w:val="Style17"/>
        <w:widowControl/>
        <w:overflowPunct w:val="true"/>
        <w:bidi w:val="0"/>
        <w:spacing w:lineRule="auto" w:line="360" w:before="0" w:after="0"/>
        <w:ind w:left="0" w:right="0" w:firstLine="680"/>
        <w:jc w:val="both"/>
        <w:rPr>
          <w:b w:val="false"/>
          <w:b w:val="false"/>
          <w:bCs w:val="false"/>
        </w:rPr>
      </w:pPr>
      <w:r>
        <w:rPr>
          <w:rFonts w:ascii="Times New Roman" w:hAnsi="Times New Roman"/>
          <w:b w:val="false"/>
          <w:bCs w:val="false"/>
          <w:sz w:val="28"/>
          <w:szCs w:val="28"/>
        </w:rPr>
        <w:t>Приблизний перелік субʼєктів владних повноважень вміщений у нормах КАС України, у ст. 2 якого зокрема закріплено можливість судового захисту публічних прав, свобод та інтересів від :органів державної влади;</w:t>
      </w:r>
      <w:r>
        <w:rPr>
          <w:rFonts w:ascii="Times New Roman" w:hAnsi="Times New Roman"/>
          <w:b w:val="false"/>
          <w:bCs w:val="false"/>
          <w:sz w:val="28"/>
          <w:szCs w:val="28"/>
        </w:rPr>
        <w:t xml:space="preserve"> </w:t>
      </w:r>
      <w:r>
        <w:rPr>
          <w:rFonts w:ascii="Times New Roman" w:hAnsi="Times New Roman"/>
          <w:b w:val="false"/>
          <w:bCs w:val="false"/>
          <w:sz w:val="28"/>
          <w:szCs w:val="28"/>
        </w:rPr>
        <w:t>органів місцевого самоврядування; їхніх посадових і службових осіб;</w:t>
        <w:br/>
        <w:t>інших субʼєктів при здійсненні ними владних управлінських функцій на основі законодавства, зокрема і на виконання делегованих повноважень.</w:t>
      </w:r>
    </w:p>
    <w:p>
      <w:pPr>
        <w:pStyle w:val="Style17"/>
        <w:widowControl/>
        <w:overflowPunct w:val="true"/>
        <w:bidi w:val="0"/>
        <w:spacing w:lineRule="auto" w:line="360" w:before="0" w:after="0"/>
        <w:ind w:left="0" w:right="0" w:firstLine="680"/>
        <w:jc w:val="both"/>
        <w:rPr>
          <w:b w:val="false"/>
          <w:b w:val="false"/>
          <w:bCs w:val="false"/>
        </w:rPr>
      </w:pPr>
      <w:r>
        <w:rPr>
          <w:rFonts w:ascii="Times New Roman" w:hAnsi="Times New Roman"/>
          <w:b w:val="false"/>
          <w:bCs w:val="false"/>
          <w:sz w:val="28"/>
          <w:szCs w:val="28"/>
        </w:rPr>
        <w:t>Але слід памʼятати, що публічно-владні функції, на відміну від законодавчої діяльності та судочинства, можуть здійснюватися не лише органами виконавчої влади. До цього процесу також долучаються й інші субʼєкти: Президент України; органи прокуратури; органи державної влади, які не входять до системи органів виконавчої влади; субʼєкти публічних повноважень із особливим статусом; юридичні особи публічного права, які не мають статусу органа публічної влади; юридичні особи приватного права; фізичні особи; субʼєкти самоврядних професій.</w:t>
      </w:r>
    </w:p>
    <w:p>
      <w:pPr>
        <w:pStyle w:val="Style17"/>
        <w:widowControl/>
        <w:overflowPunct w:val="true"/>
        <w:bidi w:val="0"/>
        <w:spacing w:lineRule="auto" w:line="360" w:before="0" w:after="0"/>
        <w:ind w:left="0" w:right="0" w:firstLine="680"/>
        <w:jc w:val="both"/>
        <w:rPr>
          <w:b w:val="false"/>
          <w:b w:val="false"/>
          <w:bCs w:val="false"/>
        </w:rPr>
      </w:pPr>
      <w:r>
        <w:rPr>
          <w:rFonts w:ascii="Times New Roman" w:hAnsi="Times New Roman"/>
          <w:b w:val="false"/>
          <w:bCs w:val="false"/>
          <w:sz w:val="28"/>
          <w:szCs w:val="28"/>
        </w:rPr>
        <w:t>Характеристика субʼєктів публічно-правових відносин та змісту їх діяльності як критеріїв визначення юрисдикції адміністративних судів буде неповною, якщо також не</w:t>
      </w:r>
      <w:r>
        <w:rPr>
          <w:rFonts w:ascii="Times New Roman" w:hAnsi="Times New Roman"/>
          <w:b w:val="false"/>
          <w:bCs w:val="false"/>
          <w:color w:val="FF0000"/>
          <w:sz w:val="28"/>
          <w:szCs w:val="28"/>
        </w:rPr>
        <w:t xml:space="preserve"> </w:t>
      </w:r>
      <w:r>
        <w:rPr>
          <w:rFonts w:ascii="Times New Roman" w:hAnsi="Times New Roman"/>
          <w:b w:val="false"/>
          <w:bCs w:val="false"/>
          <w:color w:val="000000"/>
          <w:sz w:val="28"/>
          <w:szCs w:val="28"/>
        </w:rPr>
        <w:t xml:space="preserve">врахувати публічне майно та відносини, що утворюються у звʼязку з його використанням. Публічно-правові відносини виникають не лише </w:t>
      </w:r>
      <w:r>
        <w:rPr>
          <w:rFonts w:ascii="Times New Roman" w:hAnsi="Times New Roman"/>
          <w:b w:val="false"/>
          <w:bCs w:val="false"/>
          <w:color w:val="000000"/>
          <w:sz w:val="28"/>
          <w:szCs w:val="28"/>
        </w:rPr>
        <w:t>з привод</w:t>
      </w:r>
      <w:r>
        <w:rPr>
          <w:rFonts w:ascii="Times New Roman" w:hAnsi="Times New Roman"/>
          <w:b w:val="false"/>
          <w:bCs w:val="false"/>
          <w:sz w:val="28"/>
          <w:szCs w:val="28"/>
        </w:rPr>
        <w:t>у здійснення фізичними (юридичними) особами, субʼєктами публічної адміністрації їх прав, дотримання ними юридичних обовʼязків. Такі правовідносини утворюються також щодо обʼєктів матеріального світу, які суспільство або субʼєкти публічної адміністрації одночасно, спільно і привселюдно можуть використовувати задля досягнення публічної мети (публічних завдань) або фізичних осіб, або субʼєктів публічної адміністрації.</w:t>
      </w:r>
    </w:p>
    <w:p>
      <w:pPr>
        <w:pStyle w:val="Style17"/>
        <w:widowControl/>
        <w:overflowPunct w:val="true"/>
        <w:bidi w:val="0"/>
        <w:spacing w:lineRule="auto" w:line="360" w:before="0" w:after="0"/>
        <w:ind w:left="0" w:right="0" w:firstLine="680"/>
        <w:jc w:val="both"/>
        <w:rPr>
          <w:b w:val="false"/>
          <w:b w:val="false"/>
          <w:bCs w:val="false"/>
        </w:rPr>
      </w:pPr>
      <w:r>
        <w:rPr>
          <w:rFonts w:ascii="Times New Roman" w:hAnsi="Times New Roman"/>
          <w:b w:val="false"/>
          <w:bCs w:val="false"/>
          <w:sz w:val="28"/>
          <w:szCs w:val="28"/>
        </w:rPr>
        <w:t>Існують різні види публічного майна, кожен із яких характеризується особливим правовим режимом та переліком субʼєктів, уповноважених ним розпоряджатися або здійснювати щодо нього різні види адміністративної діяльності. Тому чітке уявлення про види публічного майна гарантує розуміння сутності правового режиму й субʼєктів кожного такого виду.</w:t>
        <w:br/>
        <w:t>Якщо класифікувати публічне майно за цільовим призначенням, то можна виокремити такі його види:</w:t>
      </w:r>
    </w:p>
    <w:p>
      <w:pPr>
        <w:pStyle w:val="Style17"/>
        <w:widowControl/>
        <w:overflowPunct w:val="true"/>
        <w:bidi w:val="0"/>
        <w:spacing w:lineRule="auto" w:line="360" w:before="0" w:after="0"/>
        <w:ind w:left="0" w:right="0" w:hanging="0"/>
        <w:jc w:val="both"/>
        <w:rPr>
          <w:b w:val="false"/>
          <w:b w:val="false"/>
          <w:bCs w:val="false"/>
        </w:rPr>
      </w:pPr>
      <w:r>
        <w:rPr>
          <w:rFonts w:ascii="Times New Roman" w:hAnsi="Times New Roman"/>
          <w:b w:val="false"/>
          <w:bCs w:val="false"/>
          <w:sz w:val="28"/>
          <w:szCs w:val="28"/>
        </w:rPr>
        <w:t xml:space="preserve">– </w:t>
      </w:r>
      <w:r>
        <w:rPr>
          <w:rFonts w:ascii="Times New Roman" w:hAnsi="Times New Roman"/>
          <w:b w:val="false"/>
          <w:bCs w:val="false"/>
          <w:sz w:val="28"/>
          <w:szCs w:val="28"/>
        </w:rPr>
        <w:t>майно, яке забезпечує функціонування субʼєктів публічної адміністрації − автотранспорт, засоби звʼязку. Цей вид публічного майна є інструментом здійснення субʼєктами владних повноважень їх владних повноважень;</w:t>
        <w:br/>
        <w:t>– майно державних та комунальних установ та фондів − грошові кошти, будівлі, обладнання;</w:t>
      </w:r>
    </w:p>
    <w:p>
      <w:pPr>
        <w:pStyle w:val="Style17"/>
        <w:widowControl/>
        <w:overflowPunct w:val="true"/>
        <w:bidi w:val="0"/>
        <w:spacing w:lineRule="auto" w:line="360" w:before="0" w:after="0"/>
        <w:ind w:left="0" w:right="0" w:hanging="0"/>
        <w:jc w:val="both"/>
        <w:rPr>
          <w:b w:val="false"/>
          <w:b w:val="false"/>
          <w:bCs w:val="false"/>
        </w:rPr>
      </w:pPr>
      <w:r>
        <w:rPr>
          <w:rFonts w:ascii="Times New Roman" w:hAnsi="Times New Roman"/>
          <w:b w:val="false"/>
          <w:bCs w:val="false"/>
          <w:sz w:val="28"/>
          <w:szCs w:val="28"/>
        </w:rPr>
        <w:t xml:space="preserve">– </w:t>
      </w:r>
      <w:r>
        <w:rPr>
          <w:rFonts w:ascii="Times New Roman" w:hAnsi="Times New Roman"/>
          <w:b w:val="false"/>
          <w:bCs w:val="false"/>
          <w:sz w:val="28"/>
          <w:szCs w:val="28"/>
        </w:rPr>
        <w:t>публічне майно загального користування − вулиці, проїзди, автошляхи, площі, парки, сквери тощо;</w:t>
      </w:r>
    </w:p>
    <w:p>
      <w:pPr>
        <w:pStyle w:val="Style17"/>
        <w:widowControl/>
        <w:overflowPunct w:val="true"/>
        <w:bidi w:val="0"/>
        <w:spacing w:lineRule="auto" w:line="360" w:before="0" w:after="0"/>
        <w:ind w:left="0" w:right="0" w:hanging="0"/>
        <w:jc w:val="both"/>
        <w:rPr>
          <w:b w:val="false"/>
          <w:b w:val="false"/>
          <w:bCs w:val="false"/>
        </w:rPr>
      </w:pPr>
      <w:r>
        <w:rPr>
          <w:rFonts w:ascii="Times New Roman" w:hAnsi="Times New Roman"/>
          <w:b w:val="false"/>
          <w:bCs w:val="false"/>
          <w:sz w:val="28"/>
          <w:szCs w:val="28"/>
        </w:rPr>
        <w:t xml:space="preserve">– </w:t>
      </w:r>
      <w:r>
        <w:rPr>
          <w:rFonts w:ascii="Times New Roman" w:hAnsi="Times New Roman"/>
          <w:b w:val="false"/>
          <w:bCs w:val="false"/>
          <w:sz w:val="28"/>
          <w:szCs w:val="28"/>
        </w:rPr>
        <w:t>публічні кошти як вид публічного майна − місцеві та державний бюджети, за рахунок яких здійснюється фінансування цих субʼєктів;</w:t>
        <w:br/>
        <w:t>– природні ресурси, корпоративні права, що належать державі у статутних капіталах господарських організацій.</w:t>
      </w:r>
    </w:p>
    <w:p>
      <w:pPr>
        <w:pStyle w:val="Style17"/>
        <w:widowControl/>
        <w:overflowPunct w:val="true"/>
        <w:bidi w:val="0"/>
        <w:spacing w:lineRule="auto" w:line="360" w:before="0" w:after="0"/>
        <w:ind w:left="0" w:right="0" w:firstLine="737"/>
        <w:jc w:val="both"/>
        <w:rPr>
          <w:b w:val="false"/>
          <w:b w:val="false"/>
          <w:bCs w:val="false"/>
        </w:rPr>
      </w:pPr>
      <w:r>
        <w:rPr>
          <w:rFonts w:ascii="Times New Roman" w:hAnsi="Times New Roman"/>
          <w:b w:val="false"/>
          <w:bCs w:val="false"/>
          <w:sz w:val="28"/>
          <w:szCs w:val="28"/>
        </w:rPr>
        <w:t>Обʼєктивне існування публічно-правових відносин, утворених щодо публічного майна, дає підстави говорити про наукове, практичне й законодавче значення цієї категорії. Так, публічне майно й відповідні відносини утворюють самостійну групу правовідносин, котрі належать до предмета сучасного адміністративного права; як наслідок, існування таких правовідносин, утворених щодо публічного майна, може потягти за собою правовідносини щодо відшкодування субʼєктами публічної адміністрації шкоди, завданої приватним особам.</w:t>
      </w:r>
    </w:p>
    <w:p>
      <w:pPr>
        <w:pStyle w:val="Style17"/>
        <w:widowControl/>
        <w:overflowPunct w:val="true"/>
        <w:bidi w:val="0"/>
        <w:spacing w:lineRule="auto" w:line="360" w:before="0" w:after="0"/>
        <w:ind w:left="0" w:right="0" w:firstLine="737"/>
        <w:jc w:val="both"/>
        <w:rPr>
          <w:b w:val="false"/>
          <w:b w:val="false"/>
          <w:bCs w:val="false"/>
        </w:rPr>
      </w:pPr>
      <w:r>
        <w:rPr>
          <w:rFonts w:ascii="Times New Roman" w:hAnsi="Times New Roman"/>
          <w:b w:val="false"/>
          <w:bCs w:val="false"/>
          <w:sz w:val="28"/>
          <w:szCs w:val="28"/>
        </w:rPr>
        <w:t>Закономірно, що крім власне правовідносин щодо публічного майна, предмет адміністративного права складають і відносини щодо відшкодування субʼєктами публічної адміністрації шкоди, завданої приватним особам.</w:t>
        <w:br/>
        <w:t>Таким чином, обидва вказані види публічно-правових відносин однозначно свідчать про належність спорів щодо публічного майна та відшкодування шкоди, завданої субʼєктами публічної адміністрації приватним особам, до адміністративної юрисдикції.</w:t>
      </w:r>
    </w:p>
    <w:p>
      <w:pPr>
        <w:pStyle w:val="Style17"/>
        <w:widowControl/>
        <w:overflowPunct w:val="true"/>
        <w:bidi w:val="0"/>
        <w:spacing w:lineRule="auto" w:line="360" w:before="0" w:after="0"/>
        <w:ind w:left="0" w:right="0" w:firstLine="737"/>
        <w:jc w:val="both"/>
        <w:rPr>
          <w:b w:val="false"/>
          <w:b w:val="false"/>
          <w:bCs w:val="false"/>
        </w:rPr>
      </w:pPr>
      <w:r>
        <w:rPr>
          <w:rFonts w:ascii="Times New Roman" w:hAnsi="Times New Roman"/>
          <w:b w:val="false"/>
          <w:bCs w:val="false"/>
          <w:color w:val="000000"/>
          <w:sz w:val="28"/>
          <w:szCs w:val="28"/>
        </w:rPr>
        <w:t>Третій та четвертий критерії, які свідчать про адміністративну юрисдикцію, − наявність публічно-правових відносин та публічного інтересу.</w:t>
      </w:r>
      <w:r>
        <w:rPr>
          <w:rFonts w:ascii="Times New Roman" w:hAnsi="Times New Roman"/>
          <w:b w:val="false"/>
          <w:bCs w:val="false"/>
          <w:sz w:val="28"/>
          <w:szCs w:val="28"/>
        </w:rPr>
        <w:t xml:space="preserve"> Правовідносини у будь-якій галузі права відіграють чи не найголовнішу роль − через них здійснюються субʼєктивні повноваження, виконуються функції уповноважених субʼєктів, реалізуються завдання органів державної влади, органів місцевого самоврядування, їх посадових і службових осіб. Правовідносини характеризуються загальністю, оскільки деякі з них, зокрема адміністративні, утворюються у сфері державного та громадського управління, тобто безпосередньої, повсякденної, практичної організації господарської, соціально-культурної, оборонної та іншої діяльності державних органів, відповідних громадських організацій.</w:t>
      </w:r>
    </w:p>
    <w:p>
      <w:pPr>
        <w:pStyle w:val="Style17"/>
        <w:widowControl/>
        <w:overflowPunct w:val="true"/>
        <w:bidi w:val="0"/>
        <w:spacing w:lineRule="auto" w:line="360" w:before="0" w:after="0"/>
        <w:ind w:left="0" w:right="0" w:firstLine="737"/>
        <w:jc w:val="both"/>
        <w:rPr>
          <w:b w:val="false"/>
          <w:b w:val="false"/>
          <w:bCs w:val="false"/>
        </w:rPr>
      </w:pPr>
      <w:r>
        <w:rPr>
          <w:rFonts w:ascii="Times New Roman" w:hAnsi="Times New Roman"/>
          <w:b w:val="false"/>
          <w:bCs w:val="false"/>
          <w:sz w:val="28"/>
          <w:szCs w:val="28"/>
        </w:rPr>
        <w:t xml:space="preserve">Виходячи із тлумачення слова «публічний» (від лат. publicus − «суспільний, народний»), правники розуміють його як відкритий, гласний, суспільний </w:t>
      </w:r>
      <w:r>
        <w:rPr>
          <w:rFonts w:ascii="Times New Roman" w:hAnsi="Times New Roman"/>
          <w:b w:val="false"/>
          <w:bCs w:val="false"/>
          <w:color w:val="1C1C1C"/>
          <w:sz w:val="28"/>
          <w:szCs w:val="28"/>
        </w:rPr>
        <w:t>[15].</w:t>
      </w:r>
      <w:r>
        <w:rPr>
          <w:rFonts w:ascii="Times New Roman" w:hAnsi="Times New Roman"/>
          <w:b w:val="false"/>
          <w:bCs w:val="false"/>
          <w:sz w:val="28"/>
          <w:szCs w:val="28"/>
        </w:rPr>
        <w:t xml:space="preserve"> Отже, роблячи попередній висновок щодо публічності правовідносин, можемо констатувати, що це відносини, які, виникнувши, поширюються або можуть поширюватися на суспільство в цілому або на його значну частину, відтак мають загальнозначимий, загальносуспільний характер. Головною особливістю публічних правовідносин є те, що всі вони, хоча й різною мірою, зачіпають загальні (публічні) інтереси й можуть зачіпати інтереси правопорядку в цілому</w:t>
      </w:r>
      <w:r>
        <w:rPr>
          <w:rFonts w:ascii="Times New Roman" w:hAnsi="Times New Roman"/>
          <w:b w:val="false"/>
          <w:bCs w:val="false"/>
          <w:color w:val="1C1C1C"/>
          <w:sz w:val="28"/>
          <w:szCs w:val="28"/>
        </w:rPr>
        <w:t xml:space="preserve"> [16]. Публічно-правові відносини є проявом публічного суспільного інтересу [17].</w:t>
      </w:r>
    </w:p>
    <w:p>
      <w:pPr>
        <w:pStyle w:val="Style17"/>
        <w:widowControl/>
        <w:overflowPunct w:val="true"/>
        <w:bidi w:val="0"/>
        <w:spacing w:lineRule="auto" w:line="360" w:before="0" w:after="0"/>
        <w:ind w:left="0" w:right="0" w:firstLine="737"/>
        <w:jc w:val="both"/>
        <w:rPr>
          <w:b w:val="false"/>
          <w:b w:val="false"/>
          <w:bCs w:val="false"/>
        </w:rPr>
      </w:pPr>
      <w:r>
        <w:rPr>
          <w:rFonts w:ascii="Times New Roman" w:hAnsi="Times New Roman"/>
          <w:b w:val="false"/>
          <w:bCs w:val="false"/>
          <w:sz w:val="28"/>
          <w:szCs w:val="28"/>
        </w:rPr>
        <w:t>Наступною ознакою, яка дозволяє зробити висновок про публічний характер правовідносин, є присутність у цих відносинах такого елемента, як правовий обовʼязок, який притаманний публічним правовідносинам. Публічне право висуває свої вимоги до посадових осіб і громадян задля загального блага й таким чином примушує їх покладати в основу своєї публічної діяльності момент суспільного обовʼязку. Цей момент обовʼязку не виключає більшого чи меншого простору, який надається нормами публічного права учасникам правовідносин, однак саме момент обовʼязку продовжує відігравати у публічному праві переважаюче значення. Власне, можливість використовувати публічне право більшою чи меншою мірою або ж зовсім його не використовувати підпорядкована саме правовому обовʼязку.</w:t>
      </w:r>
    </w:p>
    <w:p>
      <w:pPr>
        <w:pStyle w:val="Style17"/>
        <w:widowControl/>
        <w:overflowPunct w:val="true"/>
        <w:bidi w:val="0"/>
        <w:spacing w:lineRule="auto" w:line="360" w:before="0" w:after="0"/>
        <w:ind w:left="0" w:right="0" w:firstLine="737"/>
        <w:jc w:val="both"/>
        <w:rPr>
          <w:b w:val="false"/>
          <w:b w:val="false"/>
          <w:bCs w:val="false"/>
        </w:rPr>
      </w:pPr>
      <w:r>
        <w:rPr>
          <w:rFonts w:ascii="Times New Roman" w:hAnsi="Times New Roman"/>
          <w:b w:val="false"/>
          <w:bCs w:val="false"/>
          <w:sz w:val="28"/>
          <w:szCs w:val="28"/>
        </w:rPr>
        <w:t>Отже, у публічно-правових відносинах вимогам суспільного обовʼязку підпорядковані публічні права як органів державної влади та інших субʼєктів публічних повноважень, так і фізичних та юридичних осіб</w:t>
      </w:r>
      <w:r>
        <w:rPr>
          <w:rFonts w:ascii="Times New Roman" w:hAnsi="Times New Roman"/>
          <w:b w:val="false"/>
          <w:bCs w:val="false"/>
          <w:color w:val="1C1C1C"/>
          <w:sz w:val="28"/>
          <w:szCs w:val="28"/>
        </w:rPr>
        <w:t xml:space="preserve"> [18].</w:t>
      </w:r>
    </w:p>
    <w:p>
      <w:pPr>
        <w:pStyle w:val="Style17"/>
        <w:widowControl/>
        <w:overflowPunct w:val="true"/>
        <w:bidi w:val="0"/>
        <w:spacing w:lineRule="auto" w:line="360" w:before="0" w:after="0"/>
        <w:ind w:left="0" w:right="0" w:firstLine="737"/>
        <w:jc w:val="both"/>
        <w:rPr>
          <w:b w:val="false"/>
          <w:b w:val="false"/>
          <w:bCs w:val="false"/>
        </w:rPr>
      </w:pPr>
      <w:r>
        <w:rPr>
          <w:rFonts w:ascii="Times New Roman" w:hAnsi="Times New Roman"/>
          <w:b w:val="false"/>
          <w:bCs w:val="false"/>
          <w:sz w:val="28"/>
          <w:szCs w:val="28"/>
        </w:rPr>
        <w:t>Саме наявність у органів державної влади, органів місцевого самоврядування, їх посадових і службових осіб, інших субʼєктів, наділених публічними повноваженнями, правових обовʼязків і змушує їх вступати у публічно-правові відносини, здійснювати у них свої повноваження.</w:t>
      </w:r>
    </w:p>
    <w:p>
      <w:pPr>
        <w:pStyle w:val="Style17"/>
        <w:widowControl/>
        <w:overflowPunct w:val="true"/>
        <w:bidi w:val="0"/>
        <w:spacing w:lineRule="auto" w:line="360" w:before="0" w:after="0"/>
        <w:ind w:left="0" w:right="0" w:firstLine="737"/>
        <w:jc w:val="both"/>
        <w:rPr>
          <w:b w:val="false"/>
          <w:b w:val="false"/>
          <w:bCs w:val="false"/>
        </w:rPr>
      </w:pPr>
      <w:r>
        <w:rPr>
          <w:rFonts w:ascii="Times New Roman" w:hAnsi="Times New Roman"/>
          <w:b w:val="false"/>
          <w:bCs w:val="false"/>
          <w:color w:val="000000"/>
          <w:sz w:val="28"/>
          <w:szCs w:val="28"/>
        </w:rPr>
        <w:t>П</w:t>
      </w:r>
      <w:r>
        <w:rPr>
          <w:rFonts w:ascii="Times New Roman" w:hAnsi="Times New Roman"/>
          <w:b w:val="false"/>
          <w:bCs w:val="false"/>
          <w:color w:val="000000"/>
          <w:sz w:val="28"/>
          <w:szCs w:val="28"/>
        </w:rPr>
        <w:t xml:space="preserve">роаналізована сукупність критеріїв визначення адміністративної юрисдикції, за деякими винятками, подібна й щодо інших судових юрисдикцій, − конституційної, цивільної, господарської. Ускладнюється визначення судової юрисдикції конкретного виду тим, що у спірних правовідносинах подекуди можуть бути присутні критерії як публічного, так і приватного права. Проблеми відмежування судових юрисдикцій обумовлені двома основними обставинами: 1) неточністю визначення таких критеріїв або неможливістю їх однозначно визначити; 2) і публічні, і приватні правовідносини не існують відокремлено, дуже часто вони поєднуються. </w:t>
      </w:r>
      <w:r>
        <w:rPr>
          <w:rFonts w:ascii="Times New Roman" w:hAnsi="Times New Roman"/>
          <w:b w:val="false"/>
          <w:bCs w:val="false"/>
          <w:color w:val="000000"/>
          <w:sz w:val="28"/>
          <w:szCs w:val="28"/>
        </w:rPr>
        <w:br/>
      </w:r>
      <w:r>
        <w:rPr>
          <w:rFonts w:ascii="Times New Roman" w:hAnsi="Times New Roman"/>
          <w:b w:val="false"/>
          <w:bCs w:val="false"/>
          <w:color w:val="000000"/>
          <w:sz w:val="28"/>
          <w:szCs w:val="28"/>
        </w:rPr>
        <w:t>Завершивши аналіз критеріїв адміністративної юрисдикції: 1) спір про право; 2) субʼєктний склад публічно-правових відносин; 3) наявність публічно-правових відносин; 4) наявність публічного інтересу; наголосимо, що така юрисдикція матиме місце лише за сукупності названих критеріїв. Відсутність принаймні одного і них означатиме неможливість віднесення конкретного правового спору до юрисдикції адміністративного суду.</w:t>
      </w:r>
    </w:p>
    <w:p>
      <w:pPr>
        <w:pStyle w:val="Style17"/>
        <w:widowControl/>
        <w:overflowPunct w:val="true"/>
        <w:bidi w:val="0"/>
        <w:spacing w:lineRule="auto" w:line="360" w:before="0" w:after="0"/>
        <w:ind w:left="0" w:right="0" w:firstLine="737"/>
        <w:jc w:val="both"/>
        <w:rPr>
          <w:b w:val="false"/>
          <w:b w:val="false"/>
          <w:bCs w:val="false"/>
        </w:rPr>
      </w:pPr>
      <w:r>
        <w:rPr>
          <w:rFonts w:ascii="Times New Roman" w:hAnsi="Times New Roman"/>
          <w:b w:val="false"/>
          <w:bCs w:val="false"/>
          <w:sz w:val="28"/>
          <w:szCs w:val="28"/>
        </w:rPr>
        <w:t>Отже, адміністративна юрисдикція − це міжгалузевий правовий інститут (зокрема інститут адміністративного і адміністративного процесуального права), за допомогою якого адміністративними судами здійснюється ідентифікація (визначення) належних до їх компетенції публічно-правових спорів.</w:t>
      </w:r>
    </w:p>
    <w:p>
      <w:pPr>
        <w:pStyle w:val="Normal"/>
        <w:widowControl/>
        <w:overflowPunct w:val="true"/>
        <w:bidi w:val="0"/>
        <w:spacing w:lineRule="auto" w:line="360" w:before="0" w:after="0"/>
        <w:ind w:left="0" w:right="0" w:firstLine="680"/>
        <w:jc w:val="both"/>
        <w:rPr>
          <w:rFonts w:ascii="Times New Roman" w:hAnsi="Times New Roman" w:eastAsia="Calibri" w:cs="Times New Roman"/>
          <w:color w:val="000000"/>
          <w:sz w:val="28"/>
          <w:szCs w:val="28"/>
          <w:lang w:val="uk-UA" w:eastAsia="en-US" w:bidi="ar-SA"/>
        </w:rPr>
      </w:pPr>
      <w:r>
        <w:rPr>
          <w:b w:val="false"/>
          <w:bCs w:val="false"/>
        </w:rPr>
      </w:r>
    </w:p>
    <w:p>
      <w:pPr>
        <w:pStyle w:val="Normal"/>
        <w:widowControl/>
        <w:overflowPunct w:val="true"/>
        <w:bidi w:val="0"/>
        <w:spacing w:lineRule="auto" w:line="360" w:before="0" w:after="0"/>
        <w:ind w:left="0" w:right="0" w:firstLine="680"/>
        <w:jc w:val="both"/>
        <w:rPr>
          <w:rFonts w:ascii="Times New Roman" w:hAnsi="Times New Roman" w:eastAsia="Calibri" w:cs="Times New Roman"/>
          <w:color w:val="000000"/>
          <w:sz w:val="28"/>
          <w:szCs w:val="28"/>
          <w:lang w:val="uk-UA" w:eastAsia="en-US" w:bidi="ar-SA"/>
        </w:rPr>
      </w:pPr>
      <w:r>
        <w:rPr>
          <w:b w:val="false"/>
          <w:bCs w:val="false"/>
        </w:rPr>
      </w:r>
    </w:p>
    <w:p>
      <w:pPr>
        <w:pStyle w:val="Normal"/>
        <w:widowControl/>
        <w:overflowPunct w:val="true"/>
        <w:bidi w:val="0"/>
        <w:spacing w:lineRule="auto" w:line="360" w:before="0" w:after="0"/>
        <w:ind w:left="0" w:right="0" w:firstLine="680"/>
        <w:jc w:val="both"/>
        <w:rPr>
          <w:rFonts w:ascii="Times New Roman" w:hAnsi="Times New Roman" w:eastAsia="Calibri" w:cs="Times New Roman"/>
          <w:color w:val="000000"/>
          <w:sz w:val="28"/>
          <w:szCs w:val="28"/>
          <w:lang w:val="uk-UA" w:eastAsia="en-US" w:bidi="ar-SA"/>
        </w:rPr>
      </w:pPr>
      <w:r>
        <w:rPr>
          <w:b w:val="false"/>
          <w:bCs w:val="false"/>
        </w:rPr>
      </w:r>
    </w:p>
    <w:p>
      <w:pPr>
        <w:pStyle w:val="Normal"/>
        <w:widowControl/>
        <w:overflowPunct w:val="true"/>
        <w:bidi w:val="0"/>
        <w:spacing w:lineRule="auto" w:line="360" w:before="0" w:after="0"/>
        <w:ind w:left="0" w:right="0" w:firstLine="680"/>
        <w:jc w:val="both"/>
        <w:rPr>
          <w:rFonts w:ascii="Times New Roman" w:hAnsi="Times New Roman" w:eastAsia="Calibri" w:cs="Times New Roman"/>
          <w:color w:val="000000"/>
          <w:sz w:val="28"/>
          <w:szCs w:val="28"/>
          <w:lang w:val="uk-UA" w:eastAsia="en-US" w:bidi="ar-SA"/>
        </w:rPr>
      </w:pPr>
      <w:r>
        <w:rPr>
          <w:b w:val="false"/>
          <w:bCs w:val="false"/>
        </w:rPr>
      </w:r>
    </w:p>
    <w:p>
      <w:pPr>
        <w:pStyle w:val="Normal"/>
        <w:widowControl/>
        <w:overflowPunct w:val="true"/>
        <w:bidi w:val="0"/>
        <w:spacing w:lineRule="auto" w:line="360" w:before="0" w:after="0"/>
        <w:ind w:left="0" w:right="0" w:firstLine="680"/>
        <w:jc w:val="both"/>
        <w:rPr>
          <w:rFonts w:ascii="Times New Roman" w:hAnsi="Times New Roman" w:eastAsia="Calibri" w:cs="Times New Roman"/>
          <w:color w:val="000000"/>
          <w:sz w:val="28"/>
          <w:szCs w:val="28"/>
          <w:lang w:val="uk-UA" w:eastAsia="en-US" w:bidi="ar-SA"/>
        </w:rPr>
      </w:pPr>
      <w:r>
        <w:rPr>
          <w:b w:val="false"/>
          <w:bCs w:val="false"/>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b/>
          <w:bCs/>
          <w:color w:val="000000"/>
          <w:sz w:val="28"/>
          <w:szCs w:val="28"/>
          <w:lang w:val="uk-UA" w:eastAsia="en-US" w:bidi="ar-SA"/>
        </w:rPr>
      </w:pPr>
      <w:r>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b/>
          <w:bCs/>
          <w:color w:val="000000"/>
          <w:sz w:val="28"/>
          <w:szCs w:val="28"/>
          <w:lang w:val="uk-UA" w:eastAsia="en-US" w:bidi="ar-SA"/>
        </w:rPr>
      </w:pPr>
      <w:r>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b/>
          <w:bCs/>
          <w:color w:val="000000"/>
          <w:sz w:val="28"/>
          <w:szCs w:val="28"/>
          <w:lang w:val="uk-UA" w:eastAsia="en-US" w:bidi="ar-SA"/>
        </w:rPr>
      </w:pPr>
      <w:r>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b/>
          <w:bCs/>
          <w:color w:val="000000"/>
          <w:sz w:val="28"/>
          <w:szCs w:val="28"/>
          <w:lang w:val="uk-UA" w:eastAsia="en-US" w:bidi="ar-SA"/>
        </w:rPr>
      </w:pPr>
      <w:r>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b/>
          <w:bCs/>
          <w:color w:val="000000"/>
          <w:sz w:val="28"/>
          <w:szCs w:val="28"/>
          <w:lang w:val="uk-UA" w:eastAsia="en-US" w:bidi="ar-SA"/>
        </w:rPr>
      </w:pPr>
      <w:r>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b/>
          <w:bCs/>
          <w:color w:val="000000"/>
          <w:sz w:val="28"/>
          <w:szCs w:val="28"/>
          <w:lang w:val="uk-UA" w:eastAsia="en-US" w:bidi="ar-SA"/>
        </w:rPr>
      </w:pPr>
      <w:r>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b/>
          <w:bCs/>
          <w:color w:val="000000"/>
          <w:sz w:val="28"/>
          <w:szCs w:val="28"/>
          <w:lang w:val="uk-UA" w:eastAsia="en-US" w:bidi="ar-SA"/>
        </w:rPr>
      </w:pPr>
      <w:r>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b/>
          <w:bCs/>
          <w:color w:val="000000"/>
          <w:sz w:val="28"/>
          <w:szCs w:val="28"/>
          <w:lang w:val="uk-UA" w:eastAsia="en-US" w:bidi="ar-SA"/>
        </w:rPr>
      </w:pPr>
      <w:r>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b/>
          <w:bCs/>
          <w:color w:val="000000"/>
          <w:sz w:val="28"/>
          <w:szCs w:val="28"/>
          <w:lang w:val="uk-UA" w:eastAsia="en-US" w:bidi="ar-SA"/>
        </w:rPr>
      </w:pPr>
      <w:r>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b/>
          <w:bCs/>
          <w:color w:val="000000"/>
          <w:sz w:val="28"/>
          <w:szCs w:val="28"/>
          <w:lang w:val="uk-UA" w:eastAsia="en-US" w:bidi="ar-SA"/>
        </w:rPr>
      </w:pPr>
      <w:r>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b/>
          <w:bCs/>
          <w:color w:val="000000"/>
          <w:sz w:val="28"/>
          <w:szCs w:val="28"/>
          <w:lang w:val="uk-UA" w:eastAsia="en-US" w:bidi="ar-SA"/>
        </w:rPr>
      </w:pPr>
      <w:r>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b/>
          <w:bCs/>
          <w:color w:val="000000"/>
          <w:sz w:val="28"/>
          <w:szCs w:val="28"/>
          <w:lang w:val="uk-UA" w:eastAsia="en-US" w:bidi="ar-SA"/>
        </w:rPr>
      </w:pPr>
      <w:r>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b/>
          <w:bCs/>
          <w:color w:val="000000"/>
          <w:sz w:val="28"/>
          <w:szCs w:val="28"/>
          <w:lang w:val="uk-UA" w:eastAsia="en-US" w:bidi="ar-SA"/>
        </w:rPr>
      </w:pPr>
      <w:r>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b/>
          <w:bCs/>
          <w:color w:val="000000"/>
          <w:sz w:val="28"/>
          <w:szCs w:val="28"/>
          <w:lang w:val="uk-UA" w:eastAsia="en-US" w:bidi="ar-SA"/>
        </w:rPr>
      </w:pPr>
      <w:r>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b/>
          <w:bCs/>
          <w:color w:val="000000"/>
          <w:sz w:val="28"/>
          <w:szCs w:val="28"/>
          <w:lang w:val="uk-UA" w:eastAsia="en-US" w:bidi="ar-SA"/>
        </w:rPr>
      </w:pPr>
      <w:r>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b/>
          <w:bCs/>
          <w:color w:val="000000"/>
          <w:sz w:val="28"/>
          <w:szCs w:val="28"/>
          <w:lang w:val="uk-UA" w:eastAsia="en-US" w:bidi="ar-SA"/>
        </w:rPr>
      </w:pPr>
      <w:r>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b/>
          <w:bCs/>
          <w:color w:val="000000"/>
          <w:sz w:val="28"/>
          <w:szCs w:val="28"/>
          <w:lang w:val="uk-UA" w:eastAsia="en-US" w:bidi="ar-SA"/>
        </w:rPr>
      </w:pPr>
      <w:r>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b/>
          <w:bCs/>
          <w:color w:val="000000"/>
          <w:sz w:val="28"/>
          <w:szCs w:val="28"/>
          <w:lang w:val="uk-UA" w:eastAsia="en-US" w:bidi="ar-SA"/>
        </w:rPr>
      </w:pPr>
      <w:r>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b/>
          <w:bCs/>
          <w:color w:val="000000"/>
          <w:sz w:val="28"/>
          <w:szCs w:val="28"/>
          <w:lang w:val="uk-UA" w:eastAsia="en-US" w:bidi="ar-SA"/>
        </w:rPr>
      </w:pPr>
      <w:r>
        <w:rPr/>
      </w:r>
    </w:p>
    <w:p>
      <w:pPr>
        <w:pStyle w:val="Normal"/>
        <w:widowControl/>
        <w:overflowPunct w:val="true"/>
        <w:bidi w:val="0"/>
        <w:spacing w:lineRule="auto" w:line="360" w:before="0" w:after="0"/>
        <w:ind w:left="0" w:right="0" w:firstLine="680"/>
        <w:jc w:val="both"/>
        <w:rPr>
          <w:rFonts w:ascii="Times New Roman" w:hAnsi="Times New Roman" w:eastAsia="Calibri" w:cs="Times New Roman"/>
          <w:b/>
          <w:b/>
          <w:bCs/>
          <w:color w:val="000000"/>
          <w:sz w:val="28"/>
          <w:szCs w:val="28"/>
          <w:lang w:val="uk-UA" w:eastAsia="en-US" w:bidi="ar-SA"/>
        </w:rPr>
      </w:pPr>
      <w:r>
        <w:rPr/>
      </w:r>
    </w:p>
    <w:p>
      <w:pPr>
        <w:pStyle w:val="Normal"/>
        <w:widowControl/>
        <w:overflowPunct w:val="true"/>
        <w:bidi w:val="0"/>
        <w:spacing w:lineRule="auto" w:line="360" w:before="0" w:after="0"/>
        <w:ind w:left="0" w:right="0" w:firstLine="680"/>
        <w:jc w:val="center"/>
        <w:rPr/>
      </w:pPr>
      <w:r>
        <w:rPr>
          <w:rFonts w:eastAsia="Calibri" w:cs="Times New Roman" w:ascii="Times New Roman" w:hAnsi="Times New Roman"/>
          <w:b/>
          <w:bCs/>
          <w:color w:val="000000"/>
          <w:sz w:val="28"/>
          <w:szCs w:val="28"/>
          <w:lang w:val="uk-UA" w:eastAsia="en-US" w:bidi="ar-SA"/>
        </w:rPr>
        <w:t>Р</w:t>
      </w:r>
      <w:r>
        <w:rPr>
          <w:rFonts w:eastAsia="Calibri" w:cs="Times New Roman" w:ascii="Times New Roman" w:hAnsi="Times New Roman"/>
          <w:b/>
          <w:bCs/>
          <w:color w:val="000000"/>
          <w:sz w:val="28"/>
          <w:szCs w:val="28"/>
          <w:lang w:val="uk-UA" w:eastAsia="en-US" w:bidi="ar-SA"/>
        </w:rPr>
        <w:t xml:space="preserve">ОЗДІЛ 3. </w:t>
      </w:r>
      <w:r>
        <w:rPr>
          <w:rFonts w:eastAsia="Calibri" w:cs="Times New Roman" w:ascii="Times New Roman" w:hAnsi="Times New Roman"/>
          <w:b/>
          <w:bCs/>
          <w:color w:val="000000"/>
          <w:sz w:val="28"/>
          <w:szCs w:val="28"/>
          <w:lang w:val="uk-UA" w:eastAsia="en-US" w:bidi="ar-SA"/>
        </w:rPr>
        <w:t>О</w:t>
      </w:r>
      <w:r>
        <w:rPr>
          <w:rFonts w:eastAsia="Calibri" w:cs="Times New Roman" w:ascii="Times New Roman" w:hAnsi="Times New Roman"/>
          <w:b/>
          <w:bCs/>
          <w:color w:val="000000"/>
          <w:sz w:val="28"/>
          <w:szCs w:val="28"/>
          <w:lang w:val="uk-UA" w:eastAsia="en-US" w:bidi="ar-SA"/>
        </w:rPr>
        <w:t>КРЕМІ АСПЕКТІ ВИЗНАЧЕННЯ ЮРИСДИКЦІЇ АДМІНІСТРАТИВНИХ СУДІВ</w:t>
      </w:r>
    </w:p>
    <w:p>
      <w:pPr>
        <w:pStyle w:val="Normal"/>
        <w:widowControl/>
        <w:overflowPunct w:val="true"/>
        <w:bidi w:val="0"/>
        <w:spacing w:lineRule="auto" w:line="360" w:before="0" w:after="0"/>
        <w:ind w:left="0" w:right="0" w:firstLine="680"/>
        <w:jc w:val="center"/>
        <w:rPr>
          <w:rFonts w:ascii="Times New Roman" w:hAnsi="Times New Roman" w:eastAsia="Calibri" w:cs="Times New Roman"/>
          <w:b/>
          <w:b/>
          <w:bCs/>
          <w:color w:val="000000"/>
          <w:sz w:val="28"/>
          <w:szCs w:val="28"/>
          <w:lang w:val="uk-UA" w:eastAsia="en-US" w:bidi="ar-SA"/>
        </w:rPr>
      </w:pPr>
      <w:r>
        <w:rPr/>
      </w:r>
    </w:p>
    <w:p>
      <w:pPr>
        <w:pStyle w:val="Normal"/>
        <w:widowControl/>
        <w:overflowPunct w:val="true"/>
        <w:bidi w:val="0"/>
        <w:spacing w:lineRule="auto" w:line="360" w:before="0" w:after="0"/>
        <w:ind w:left="0" w:right="0" w:firstLine="680"/>
        <w:jc w:val="both"/>
        <w:rPr>
          <w:rStyle w:val="Style14"/>
          <w:rFonts w:ascii="Times New Roman" w:hAnsi="Times New Roman" w:eastAsia="Calibri" w:cs="Times New Roman"/>
          <w:b w:val="false"/>
          <w:b w:val="false"/>
          <w:bCs w:val="false"/>
          <w:color w:val="FF0000"/>
          <w:sz w:val="28"/>
          <w:szCs w:val="28"/>
          <w:lang w:val="uk-UA" w:eastAsia="en-US" w:bidi="ar-SA"/>
        </w:rPr>
      </w:pPr>
      <w:r>
        <w:rPr/>
      </w:r>
    </w:p>
    <w:p>
      <w:pPr>
        <w:pStyle w:val="Normal"/>
        <w:widowControl/>
        <w:overflowPunct w:val="true"/>
        <w:bidi w:val="0"/>
        <w:spacing w:lineRule="auto" w:line="360" w:before="0" w:after="0"/>
        <w:ind w:left="0" w:right="0" w:firstLine="680"/>
        <w:jc w:val="both"/>
        <w:rPr/>
      </w:pPr>
      <w:r>
        <w:rPr>
          <w:rStyle w:val="Style14"/>
          <w:rFonts w:eastAsia="Calibri" w:cs="Times New Roman" w:ascii="Times New Roman" w:hAnsi="Times New Roman"/>
          <w:b/>
          <w:bCs/>
          <w:color w:val="000000"/>
          <w:sz w:val="28"/>
          <w:szCs w:val="28"/>
          <w:lang w:val="uk-UA" w:eastAsia="en-US" w:bidi="ar-SA"/>
        </w:rPr>
        <w:t>3.1</w:t>
      </w:r>
      <w:r>
        <w:rPr>
          <w:rStyle w:val="Style14"/>
          <w:rFonts w:eastAsia="Calibri" w:cs="Times New Roman" w:ascii="Times New Roman" w:hAnsi="Times New Roman"/>
          <w:b w:val="false"/>
          <w:bCs w:val="false"/>
          <w:color w:val="000000"/>
          <w:sz w:val="28"/>
          <w:szCs w:val="28"/>
          <w:lang w:val="uk-UA" w:eastAsia="en-US" w:bidi="ar-SA"/>
        </w:rPr>
        <w:t xml:space="preserve"> </w:t>
      </w:r>
      <w:r>
        <w:rPr>
          <w:rStyle w:val="Style14"/>
          <w:rFonts w:eastAsia="Calibri" w:cs="Times New Roman" w:ascii="Times New Roman" w:hAnsi="Times New Roman"/>
          <w:b/>
          <w:bCs/>
          <w:color w:val="000000"/>
          <w:sz w:val="28"/>
          <w:szCs w:val="28"/>
          <w:lang w:val="uk-UA" w:eastAsia="en-US" w:bidi="ar-SA"/>
        </w:rPr>
        <w:t>Проблеми розмежування адміністративної і конституційної юрисдикцій.</w:t>
      </w:r>
    </w:p>
    <w:p>
      <w:pPr>
        <w:pStyle w:val="Normal"/>
        <w:widowControl/>
        <w:overflowPunct w:val="true"/>
        <w:bidi w:val="0"/>
        <w:spacing w:lineRule="auto" w:line="360" w:before="0" w:after="0"/>
        <w:ind w:left="0" w:right="0" w:firstLine="680"/>
        <w:jc w:val="both"/>
        <w:rPr>
          <w:rStyle w:val="Style14"/>
          <w:rFonts w:ascii="Times New Roman" w:hAnsi="Times New Roman" w:eastAsia="Calibri" w:cs="Times New Roman"/>
          <w:b/>
          <w:b/>
          <w:bCs/>
          <w:color w:val="000000"/>
          <w:sz w:val="28"/>
          <w:szCs w:val="28"/>
          <w:lang w:val="uk-UA" w:eastAsia="en-US" w:bidi="ar-SA"/>
        </w:rPr>
      </w:pPr>
      <w:r>
        <w:rPr/>
      </w:r>
    </w:p>
    <w:p>
      <w:pPr>
        <w:pStyle w:val="Style17"/>
        <w:widowControl/>
        <w:overflowPunct w:val="true"/>
        <w:bidi w:val="0"/>
        <w:spacing w:lineRule="auto" w:line="360" w:before="0" w:after="0"/>
        <w:ind w:left="0" w:right="0" w:firstLine="680"/>
        <w:jc w:val="both"/>
        <w:rPr/>
      </w:pPr>
      <w:r>
        <w:rPr>
          <w:rStyle w:val="Style14"/>
          <w:rFonts w:eastAsia="Calibri" w:cs="Times New Roman" w:ascii="Times New Roman" w:hAnsi="Times New Roman"/>
          <w:b w:val="false"/>
          <w:bCs w:val="false"/>
          <w:color w:val="000000"/>
          <w:sz w:val="28"/>
          <w:szCs w:val="28"/>
          <w:lang w:val="uk-UA" w:eastAsia="en-US" w:bidi="ar-SA"/>
        </w:rPr>
        <w:t>Проблема відмежування адміністративної юрисдикції від інших видів судової юрисдикції є однією з найскладніших проблем спеціалізації судів. Сучасні правовідносини настільки різноманітні та багатогранні, що часто їх важко ідентифікувати та визначити відповідну їм судову юрисдикцію.Утворення адміністративних судів і запровадження адміністративного судочинства зумовлюють потребу розмежувати предмет юрисдикції адміністративних судів з предметом юрисдикції інших судів – конституційної, кримінальної, цивільної і господарської.</w:t>
      </w:r>
    </w:p>
    <w:p>
      <w:pPr>
        <w:pStyle w:val="Style17"/>
        <w:widowControl/>
        <w:overflowPunct w:val="true"/>
        <w:bidi w:val="0"/>
        <w:spacing w:lineRule="auto" w:line="360" w:before="0" w:after="0"/>
        <w:ind w:left="0" w:right="0" w:firstLine="680"/>
        <w:jc w:val="both"/>
        <w:rPr/>
      </w:pPr>
      <w:r>
        <w:rPr>
          <w:rStyle w:val="Style14"/>
          <w:rFonts w:eastAsia="Calibri" w:cs="Times New Roman" w:ascii="Times New Roman" w:hAnsi="Times New Roman"/>
          <w:b w:val="false"/>
          <w:bCs w:val="false"/>
          <w:color w:val="000000"/>
          <w:sz w:val="28"/>
          <w:szCs w:val="28"/>
          <w:lang w:val="uk-UA" w:eastAsia="en-US" w:bidi="ar-SA"/>
        </w:rPr>
        <w:t>До юрисдикції адміністративних судів належать правові спори, з тією особливістю, що вони мають публічний характер, тобто це спори з правовідносин, що виникають у</w:t>
      </w:r>
      <w:r>
        <w:rPr>
          <w:rStyle w:val="Style14"/>
          <w:rFonts w:eastAsia="Calibri" w:cs="Times New Roman" w:ascii="Times New Roman" w:hAnsi="Times New Roman"/>
          <w:b w:val="false"/>
          <w:bCs w:val="false"/>
          <w:i w:val="false"/>
          <w:iCs w:val="false"/>
          <w:color w:val="000000"/>
          <w:sz w:val="28"/>
          <w:szCs w:val="28"/>
          <w:lang w:val="uk-UA" w:eastAsia="en-US" w:bidi="ar-SA"/>
        </w:rPr>
        <w:t xml:space="preserve"> сфері публічної адміністрації. </w:t>
      </w:r>
      <w:r>
        <w:rPr>
          <w:rStyle w:val="Style14"/>
          <w:rFonts w:eastAsia="Calibri" w:cs="Times New Roman" w:ascii="Times New Roman" w:hAnsi="Times New Roman"/>
          <w:b w:val="false"/>
          <w:bCs w:val="false"/>
          <w:color w:val="000000"/>
          <w:sz w:val="28"/>
          <w:szCs w:val="28"/>
          <w:lang w:val="uk-UA" w:eastAsia="en-US" w:bidi="ar-SA"/>
        </w:rPr>
        <w:t>За межами предмету адміністративної юрисдикції знаходиться сфера законодавчої діяльності і діяльності щодо здійснення правосуддя. Дипломатичні спори, які виникають в рамках міжнародного публічного права і за змістом також є публічно-правовими, також не належать до предмету адміністративної юрисдикції, оскільки вони не можуть розглядатися національними судами.</w:t>
      </w:r>
    </w:p>
    <w:p>
      <w:pPr>
        <w:pStyle w:val="Style17"/>
        <w:widowControl/>
        <w:overflowPunct w:val="true"/>
        <w:bidi w:val="0"/>
        <w:spacing w:lineRule="auto" w:line="360" w:before="0" w:after="0"/>
        <w:ind w:left="0" w:right="0" w:firstLine="680"/>
        <w:jc w:val="both"/>
        <w:rPr/>
      </w:pPr>
      <w:r>
        <w:rPr>
          <w:rStyle w:val="Style14"/>
          <w:rFonts w:eastAsia="Calibri" w:cs="Times New Roman" w:ascii="Times New Roman" w:hAnsi="Times New Roman"/>
          <w:b w:val="false"/>
          <w:bCs w:val="false"/>
          <w:color w:val="000000"/>
          <w:sz w:val="28"/>
          <w:szCs w:val="28"/>
          <w:lang w:val="uk-UA" w:eastAsia="en-US" w:bidi="ar-SA"/>
        </w:rPr>
        <w:t>Предмет адміністративної юрисдикції становлять публічно-правові спори, у яких хоча б однією зі сторін є суб’єкт владних повноважень (пункт 1 статті 3 КАС), тобто обов’язковою стороною у таких спорах має бути представник публічної адміністрації (орган державної влади, орган місцевого самоврядування тощо). При цьому юрисдикція адміністративних судів охоплює всі публічно-правові спори, крім спорів, для яких законом встановлений інший порядок судового вирішення (частина друга статті 4 КАС). Необхідно уточнити, що йдеться про публічно-правові спори саме за участю суб’єктів владних повноважень.</w:t>
      </w:r>
    </w:p>
    <w:p>
      <w:pPr>
        <w:pStyle w:val="Style17"/>
        <w:widowControl/>
        <w:overflowPunct w:val="true"/>
        <w:bidi w:val="0"/>
        <w:spacing w:lineRule="auto" w:line="360" w:before="0" w:after="0"/>
        <w:ind w:left="0" w:right="0" w:firstLine="680"/>
        <w:jc w:val="both"/>
        <w:rPr/>
      </w:pPr>
      <w:r>
        <w:rPr>
          <w:rStyle w:val="Style14"/>
          <w:rFonts w:eastAsia="Calibri" w:cs="Times New Roman" w:ascii="Times New Roman" w:hAnsi="Times New Roman"/>
          <w:b w:val="false"/>
          <w:bCs w:val="false"/>
          <w:color w:val="000000"/>
          <w:sz w:val="28"/>
          <w:szCs w:val="28"/>
          <w:lang w:val="uk-UA" w:eastAsia="en-US" w:bidi="ar-SA"/>
        </w:rPr>
        <w:t>Складним є питання щодо розмежування предмету адміністративної і конституційної юрисдикцій. Предметом аналізу в адміністративній юрисдикції є підзаконні правові акти, критерієм оцінки їхньої правомірності є як закони, так і Конституція України. Юрисдикцію Конституційного Суду України також поширено на низку підзаконних актів, вичерпний перелік яких визначено пунктом 1 частини першої статті 150 Конституції України – це правові акти Верховної Ради України, акти Президента і Кабінету Міністрів України, правові акти Верховної Ради Автономної Республіки Крим. Проте єдиним критерієм їхньої оцінки для Конституційного Суду є норми Конституції України. Отож і предмет перегляду, і еталон для оцінки в адміністративній та конституційній юрисдикціях можуть частково збігатися.</w:t>
      </w:r>
    </w:p>
    <w:p>
      <w:pPr>
        <w:pStyle w:val="Style17"/>
        <w:widowControl/>
        <w:overflowPunct w:val="true"/>
        <w:bidi w:val="0"/>
        <w:spacing w:lineRule="auto" w:line="360" w:before="0" w:after="0"/>
        <w:ind w:left="0" w:right="0" w:firstLine="680"/>
        <w:jc w:val="both"/>
        <w:rPr/>
      </w:pPr>
      <w:r>
        <w:rPr>
          <w:rStyle w:val="Style14"/>
          <w:rFonts w:eastAsia="Calibri" w:cs="Times New Roman" w:ascii="Times New Roman" w:hAnsi="Times New Roman"/>
          <w:b w:val="false"/>
          <w:bCs w:val="false"/>
          <w:color w:val="000000"/>
          <w:sz w:val="28"/>
          <w:szCs w:val="28"/>
          <w:lang w:val="uk-UA" w:eastAsia="en-US" w:bidi="ar-SA"/>
        </w:rPr>
        <w:t>Для проведення вододілу між адміністративною та іншими видами юрисдикції, зокрема й конституційною, КАС передбачає, що:</w:t>
      </w:r>
    </w:p>
    <w:p>
      <w:pPr>
        <w:pStyle w:val="Style17"/>
        <w:widowControl/>
        <w:overflowPunct w:val="true"/>
        <w:bidi w:val="0"/>
        <w:spacing w:lineRule="auto" w:line="360" w:before="0" w:after="0"/>
        <w:ind w:left="0" w:right="0" w:firstLine="680"/>
        <w:jc w:val="both"/>
        <w:rPr/>
      </w:pPr>
      <w:r>
        <w:rPr>
          <w:rStyle w:val="Style14"/>
          <w:rFonts w:eastAsia="Calibri" w:cs="Times New Roman" w:ascii="Times New Roman" w:hAnsi="Times New Roman"/>
          <w:b w:val="false"/>
          <w:bCs w:val="false"/>
          <w:color w:val="000000"/>
          <w:sz w:val="28"/>
          <w:szCs w:val="28"/>
          <w:lang w:val="uk-UA" w:eastAsia="en-US" w:bidi="ar-SA"/>
        </w:rPr>
        <w:t>- юрисдикція адміністративних судів поширюється на всі публічно-правові спори, крім спорів, для яких законом встановлений інший порядок судового вирішення (частина друга статті 4);</w:t>
      </w:r>
    </w:p>
    <w:p>
      <w:pPr>
        <w:pStyle w:val="Style17"/>
        <w:widowControl/>
        <w:overflowPunct w:val="true"/>
        <w:bidi w:val="0"/>
        <w:spacing w:lineRule="auto" w:line="360" w:before="0" w:after="0"/>
        <w:ind w:left="0" w:right="0" w:firstLine="680"/>
        <w:jc w:val="both"/>
        <w:rPr/>
      </w:pPr>
      <w:r>
        <w:rPr>
          <w:rStyle w:val="Style14"/>
          <w:rFonts w:eastAsia="Calibri" w:cs="Times New Roman" w:ascii="Times New Roman" w:hAnsi="Times New Roman"/>
          <w:b w:val="false"/>
          <w:bCs w:val="false"/>
          <w:color w:val="000000"/>
          <w:sz w:val="28"/>
          <w:szCs w:val="28"/>
          <w:lang w:val="uk-UA" w:eastAsia="en-US" w:bidi="ar-SA"/>
        </w:rPr>
        <w:t>- до адміністративних судів можуть бути оскаржені будь-які рішення, дії чи бездіяльність суб’єктів владних повноважень, крім випадків, коли щодо таких актів чи діяльності законами чи Конституцією встановлено інший порядок судового провадження (частина друга статті 2).</w:t>
      </w:r>
    </w:p>
    <w:p>
      <w:pPr>
        <w:pStyle w:val="Style17"/>
        <w:widowControl/>
        <w:overflowPunct w:val="true"/>
        <w:bidi w:val="0"/>
        <w:spacing w:lineRule="auto" w:line="360" w:before="0" w:after="0"/>
        <w:ind w:left="0" w:right="0" w:firstLine="680"/>
        <w:jc w:val="both"/>
        <w:rPr/>
      </w:pPr>
      <w:r>
        <w:rPr>
          <w:rStyle w:val="Style14"/>
          <w:rFonts w:eastAsia="Calibri" w:cs="Times New Roman" w:ascii="Times New Roman" w:hAnsi="Times New Roman"/>
          <w:b w:val="false"/>
          <w:bCs w:val="false"/>
          <w:color w:val="000000"/>
          <w:sz w:val="28"/>
          <w:szCs w:val="28"/>
          <w:lang w:val="uk-UA" w:eastAsia="en-US" w:bidi="ar-SA"/>
        </w:rPr>
        <w:t>Звідси випливає, що адміністративні суди не можуть вирішувати спори щодо конституційності правових актів, які відповідно до Конституції України і Закону України „Про Конституційний Суд України” вирішує Конституційний Суд. Проте адміністративні суди також уповноважені переглядати підзаконні правові акти Верховної Ради України, акти Президента і Кабінету Міністрів, правові акти Верховної Ради Автономної Республіки Крим на предмет їхньої законності, але не конституційності. Водночас адміністративний суд може визнавати неконституційними інші підзаконні правові акти.</w:t>
      </w:r>
    </w:p>
    <w:p>
      <w:pPr>
        <w:pStyle w:val="Style17"/>
        <w:widowControl/>
        <w:overflowPunct w:val="true"/>
        <w:bidi w:val="0"/>
        <w:spacing w:lineRule="auto" w:line="360" w:before="0" w:after="0"/>
        <w:ind w:left="0" w:right="0" w:firstLine="680"/>
        <w:jc w:val="both"/>
        <w:rPr/>
      </w:pPr>
      <w:r>
        <w:rPr>
          <w:rStyle w:val="Style14"/>
          <w:rFonts w:eastAsia="Calibri" w:cs="Times New Roman" w:ascii="Times New Roman" w:hAnsi="Times New Roman"/>
          <w:b w:val="false"/>
          <w:bCs w:val="false"/>
          <w:color w:val="000000"/>
          <w:sz w:val="28"/>
          <w:szCs w:val="28"/>
          <w:lang w:val="uk-UA" w:eastAsia="en-US" w:bidi="ar-SA"/>
        </w:rPr>
        <w:t>Зрозуміло, що за такого підходу можливі труднощі у правозастосуванні. Не виключені ситуації, коли один і той самий правовий акт буде предметом перегляду у Конституційному Суді (з огляду на відповідність цього акта положенню Конституції) або в адміністративному суді (з огляду на його відповідність такому ж за змістом положенню закону). У цьому випадку, адміністративному суду необхідно було б зупинити провадження у справі до вирішення питання Конституційним Судом, якщо в адміністративного суду є сумніви щодо конституційності цього акта.</w:t>
      </w:r>
    </w:p>
    <w:p>
      <w:pPr>
        <w:pStyle w:val="Style17"/>
        <w:widowControl/>
        <w:overflowPunct w:val="true"/>
        <w:bidi w:val="0"/>
        <w:spacing w:lineRule="auto" w:line="360" w:before="0" w:after="0"/>
        <w:ind w:left="0" w:right="0" w:firstLine="680"/>
        <w:jc w:val="both"/>
        <w:rPr/>
      </w:pPr>
      <w:r>
        <w:rPr>
          <w:rStyle w:val="Style14"/>
          <w:rFonts w:eastAsia="Calibri" w:cs="Times New Roman" w:ascii="Times New Roman" w:hAnsi="Times New Roman"/>
          <w:b w:val="false"/>
          <w:bCs w:val="false"/>
          <w:color w:val="000000"/>
          <w:sz w:val="28"/>
          <w:szCs w:val="28"/>
          <w:lang w:val="uk-UA" w:eastAsia="en-US" w:bidi="ar-SA"/>
        </w:rPr>
        <w:t>З набранням чинності КАС усі справи публічно-правового характеру, які до того вважалися цивільними і господарськими, віднесено до адміністративної юрисдикції. Тобто, цивільну і господарську юрисдикції „очищено” від публічно-правових категорій справ. Однак при визначенні правової природи окремих різновидів справ, а відтак – судової юрисдикції можливі труднощі як у теоретичному розумінні, так і в правозастосуванні.</w:t>
      </w:r>
    </w:p>
    <w:p>
      <w:pPr>
        <w:pStyle w:val="Style17"/>
        <w:widowControl/>
        <w:overflowPunct w:val="true"/>
        <w:bidi w:val="0"/>
        <w:spacing w:lineRule="auto" w:line="360" w:before="0" w:after="0"/>
        <w:ind w:left="0" w:right="0" w:firstLine="680"/>
        <w:jc w:val="both"/>
        <w:rPr/>
      </w:pPr>
      <w:r>
        <w:rPr>
          <w:rStyle w:val="Style14"/>
          <w:rFonts w:eastAsia="Calibri" w:cs="Times New Roman" w:ascii="Times New Roman" w:hAnsi="Times New Roman"/>
          <w:b w:val="false"/>
          <w:bCs w:val="false"/>
          <w:color w:val="000000"/>
          <w:sz w:val="28"/>
          <w:szCs w:val="28"/>
          <w:lang w:val="uk-UA" w:eastAsia="en-US" w:bidi="ar-SA"/>
        </w:rPr>
        <w:t>П</w:t>
      </w:r>
      <w:r>
        <w:rPr>
          <w:rStyle w:val="Style14"/>
          <w:rFonts w:eastAsia="Calibri" w:cs="Times New Roman" w:ascii="Times New Roman" w:hAnsi="Times New Roman"/>
          <w:b w:val="false"/>
          <w:bCs w:val="false"/>
          <w:color w:val="000000"/>
          <w:sz w:val="28"/>
          <w:szCs w:val="28"/>
          <w:lang w:val="uk-UA" w:eastAsia="en-US" w:bidi="ar-SA"/>
        </w:rPr>
        <w:t>роблема визначення суду (адміністративної чи цивільної юрисдикції) щодо вирішення справ про відшкодування шкоди державі чи органу місцевого самоврядування посадовими і службовими особами, відповідальними за видання протиправних рішень, вчинення незаконних дій чи допущення бездіяльності. Такі справи можуть виникати за реґресними вимогами державного органу чи органу місцевого самоврядування, які відшкодували заподіяну ними шкоду фізичній чи юридичній особі, до безпосередніх винуватців заподіяння шкоди. Незважаючи на суб‘єктний склад (суб‘єкт владних повноважень і посадова чи службова особа), такі справи повинні розглядати суди цивільної юрисдикції, оскільки предметом розгляду буде лише вимога про відшкодування, але аж ніяк не питання про протиправність акта чи діяння, що належать до сфери публічного права. Заявлення реґресних вимог суб‘єктом владних повноважень у провадженні в адміністративному суді затягуватиме вирішення основних вимог позивача, у чому він навряд буде заінтересований, тому КАС не встановлює за адміністративними судами підсудність реґресних позовів.</w:t>
      </w:r>
    </w:p>
    <w:p>
      <w:pPr>
        <w:pStyle w:val="Style17"/>
        <w:widowControl/>
        <w:overflowPunct w:val="true"/>
        <w:bidi w:val="0"/>
        <w:spacing w:lineRule="auto" w:line="360" w:before="0" w:after="0"/>
        <w:ind w:left="0" w:right="0" w:firstLine="680"/>
        <w:jc w:val="both"/>
        <w:rPr/>
      </w:pPr>
      <w:r>
        <w:rPr>
          <w:rStyle w:val="Style14"/>
          <w:rFonts w:eastAsia="Calibri" w:cs="Times New Roman" w:ascii="Times New Roman" w:hAnsi="Times New Roman"/>
          <w:b w:val="false"/>
          <w:bCs w:val="false"/>
          <w:color w:val="000000"/>
          <w:sz w:val="28"/>
          <w:szCs w:val="28"/>
          <w:lang w:val="uk-UA" w:eastAsia="en-US" w:bidi="ar-SA"/>
        </w:rPr>
        <w:t>На перший погляд, дискусійною з теоретичної точки зору може бути правова природа справ щодо оскарження актів підприємств, установ, організацій незалежно від форм власності, їх органів і посадових осіб.  Видання актів локального регулювання (в межах підприємства, установи, організації) має управлінський прояв, оскільки є формою одностороннього владного волевиявлення щодо врегулювання внутрішніх (локальних) відносин – членських, трудових, господарських тощо. Однак це волевиявлення не набуває публічно-владних ознак для загалу поза межами установи, тобто воно не пов‘язане з реалізацією владних повноважень держави чи місцевого самоврядування, а отже, спори, що виникають на підставі такого волевиявлення не є публічно-правовими, бо публічність у цьому випадку передбачає охоплення регулюванням такого загалу, який не пов’язаний внутрішніми відносинами в організаціях.</w:t>
      </w:r>
    </w:p>
    <w:p>
      <w:pPr>
        <w:pStyle w:val="Style17"/>
        <w:widowControl/>
        <w:overflowPunct w:val="true"/>
        <w:bidi w:val="0"/>
        <w:spacing w:lineRule="auto" w:line="360" w:before="0" w:after="0"/>
        <w:ind w:left="0" w:right="0" w:firstLine="680"/>
        <w:jc w:val="both"/>
        <w:rPr/>
      </w:pPr>
      <w:r>
        <w:rPr>
          <w:rStyle w:val="Style14"/>
          <w:rFonts w:eastAsia="Calibri" w:cs="Times New Roman" w:ascii="Times New Roman" w:hAnsi="Times New Roman"/>
          <w:b w:val="false"/>
          <w:bCs w:val="false"/>
          <w:color w:val="000000"/>
          <w:sz w:val="28"/>
          <w:szCs w:val="28"/>
          <w:lang w:val="uk-UA" w:eastAsia="en-US" w:bidi="ar-SA"/>
        </w:rPr>
        <w:t>Однак до адміністративної юрисдикції належать спори стосовно тих рішень, дій чи бездіяльності підприємств, установ та організацій, які пов‘язані із здійсненням ними владних управлінських функцій відповідно до законодавства, у тому числі на виконання делегованих повноважень. Тоді, коли орган чи посадова особа установи, організації, підприємства видає нормативно-правовий акт чи правовий акт індивідуальної дії на підставі спеціального уповноваження від держави чи місцевого самоврядування, можна вважати, що вони здійснюють публічно-владні управлінські функції (наприклад, видання правових актів, надання адміністративних послуг національними акціонерними компаніями, державними та іншими підприємствами, установами, організаціями на виконання управлінських повноважень, які їм надані законодавством або делеговані відповідно до закону). Спори щодо реалізації цих функцій належать до предмету юрисдикції адміністративних судів.</w:t>
      </w:r>
    </w:p>
    <w:p>
      <w:pPr>
        <w:pStyle w:val="Style17"/>
        <w:widowControl/>
        <w:overflowPunct w:val="true"/>
        <w:bidi w:val="0"/>
        <w:spacing w:lineRule="auto" w:line="360" w:before="0" w:after="0"/>
        <w:ind w:left="0" w:right="0" w:firstLine="680"/>
        <w:jc w:val="both"/>
        <w:rPr/>
      </w:pPr>
      <w:r>
        <w:rPr>
          <w:rStyle w:val="Style14"/>
          <w:rFonts w:eastAsia="Calibri" w:cs="Times New Roman" w:ascii="Times New Roman" w:hAnsi="Times New Roman"/>
          <w:b w:val="false"/>
          <w:bCs w:val="false"/>
          <w:color w:val="000000"/>
          <w:sz w:val="28"/>
          <w:szCs w:val="28"/>
          <w:lang w:val="uk-UA" w:eastAsia="en-US" w:bidi="ar-SA"/>
        </w:rPr>
        <w:t>Практичні труднощі можуть виникати під час визначення судової юрисдикції щодо спорів, які виникають з договорів між суб‘єктами владних повноважень та іншими особами. Проблемою може бути ідентифікація деяких видів таких договорів як адміністративних. Які критерії використовувати в таких випадках - суб‘єктний склад чи суть правовідносин? Від відповіді на це питання залежатиме вибір суду, який вирішуватиме спір стосовно відповідного договору. Орієнтиром при вирішенні цього питання одночасно можуть бути: суб‘єктний склад договору (принаймні одна сторона – це суб‘єкт владних повноважень) та публічна природа правовідносин. Якщо неодмінною стороною договору відповідно до законодавства повинен бути суб‘єкт владних повноважень, то такий договір слід визнати адміністративним, оскільки суб‘єкт владних повноважень в такому випадку діє від імені держави (територіальної громади), в її інтересах чи для забезпечення їх, а не для своїх власних поточних потреб.</w:t>
      </w:r>
    </w:p>
    <w:p>
      <w:pPr>
        <w:pStyle w:val="Style17"/>
        <w:widowControl/>
        <w:overflowPunct w:val="true"/>
        <w:bidi w:val="0"/>
        <w:spacing w:lineRule="auto" w:line="360" w:before="0" w:after="0"/>
        <w:ind w:left="0" w:right="0" w:firstLine="680"/>
        <w:jc w:val="both"/>
        <w:rPr/>
      </w:pPr>
      <w:r>
        <w:rPr>
          <w:rStyle w:val="Style14"/>
          <w:rFonts w:eastAsia="Calibri" w:cs="Times New Roman" w:ascii="Times New Roman" w:hAnsi="Times New Roman"/>
          <w:b w:val="false"/>
          <w:bCs w:val="false"/>
          <w:color w:val="000000"/>
          <w:sz w:val="28"/>
          <w:szCs w:val="28"/>
          <w:lang w:val="uk-UA" w:eastAsia="en-US" w:bidi="ar-SA"/>
        </w:rPr>
        <w:t>Проблемним є також питання щодо виду судової юрисдикції для розгляду спорів з приводу нотаріальних дій або відмови у їх вчиненні, які донедавна знаходили вирішення в порядку окремого провадження за главою 39 ЦПК 1963 року. Складність полягає у визначенні характеру нотаріально-правових відносин – є вони публічними чи приватними. З одного боку, роль нотаріуса зведено до публічного (від імені держави) вчинення дій, що мають юридичне значення і спрямовані на реалізацію особами їхніх прав, для попередження виникнення спору. Така роль має публічно-правовий характер, як і реєстрація окремих видів договорів органами місцевого самоврядування чи органами державної виконавчої влади. Нотаріус має владно-публічні повноваження щодо особи, яка звернулась до нього, оскільки він уповноважений у випадках, передбачених законом, відмовити особі у вчиненні нотаріальної дії. З іншого боку, об‘єктом нотаріальних дій завжди є приватноправові відносини (договірні, спадкові тощо), саме тому оспорювання нотаріальних дій найчастіше має на меті коригування тих приватноправових відносин, що стали або повинні стати об‘єктом нотаріальних дій. Суд повинен бути компетентним дати оцінку приватноправовим відносинам, що перевірялися нотаріусом. Виходячи з того, що інститут нотаріату обслуговує насамперед сферу приватноправових відносин, а також з недоцільності розривати судовий розгляд нотаріальних і приватноправових відносин, вирішено залишити вирішення таких спорів у цивільній юрисдикції. Однак необхідно звернути увагу на те, що ці спори належить розглядати не за спеціальними правилами окремого провадження, а за загальними правилами позовного провадження відповідно до нового ЦПК 2004 року</w:t>
      </w:r>
    </w:p>
    <w:p>
      <w:pPr>
        <w:pStyle w:val="Style17"/>
        <w:widowControl/>
        <w:overflowPunct w:val="true"/>
        <w:bidi w:val="0"/>
        <w:spacing w:lineRule="auto" w:line="360" w:before="0" w:after="0"/>
        <w:ind w:left="0" w:right="0" w:firstLine="680"/>
        <w:jc w:val="both"/>
        <w:rPr/>
      </w:pPr>
      <w:r>
        <w:rPr>
          <w:rStyle w:val="Style14"/>
          <w:rFonts w:eastAsia="Calibri" w:cs="Times New Roman" w:ascii="Times New Roman" w:hAnsi="Times New Roman"/>
          <w:b w:val="false"/>
          <w:bCs w:val="false"/>
          <w:color w:val="000000"/>
          <w:sz w:val="28"/>
          <w:szCs w:val="28"/>
          <w:lang w:val="uk-UA" w:eastAsia="en-US" w:bidi="ar-SA"/>
        </w:rPr>
        <w:t>А така категорія справ окремого провадження як справи про встановлення неправильності запису в актах цивільного стану перейшла з цивільної юрисдикції до адміністративної (див. пункт 9 Розділу XІ «Прикінцеві та перехідні положення» ЦПК 2004 року). Адже за правовою природою ця категорія справ є оскарженням відмови органу реєстрації актів цивільного стану у виправленні відомостей в актових записах цивільного стану. І таке оскарження повинно здійснюватися за загальними правилами адміністративного судочинства.</w:t>
      </w:r>
    </w:p>
    <w:p>
      <w:pPr>
        <w:pStyle w:val="Style17"/>
        <w:widowControl/>
        <w:overflowPunct w:val="true"/>
        <w:bidi w:val="0"/>
        <w:spacing w:lineRule="auto" w:line="360" w:before="0" w:after="0"/>
        <w:ind w:left="0" w:right="0" w:firstLine="680"/>
        <w:jc w:val="both"/>
        <w:rPr/>
      </w:pPr>
      <w:r>
        <w:rPr>
          <w:rStyle w:val="Style14"/>
          <w:rFonts w:eastAsia="Calibri" w:cs="Times New Roman" w:ascii="Times New Roman" w:hAnsi="Times New Roman"/>
          <w:b w:val="false"/>
          <w:bCs w:val="false"/>
          <w:color w:val="000000"/>
          <w:sz w:val="28"/>
          <w:szCs w:val="28"/>
          <w:lang w:val="uk-UA" w:eastAsia="en-US" w:bidi="ar-SA"/>
        </w:rPr>
        <w:t>Здивування може викликати те, що КАС (стаття 181) і новий ЦПК (розділ VІІ) одночасно врегульовують процесуальні відносини, пов’язані із оскарженням рішень, дій або бездіяльності державної виконавчої служби. Однак це не помилка законодавця, і зроблено це було з таких міркувань. У порядку цивільного судочинства суд розглядає скарги на рішення, діяльність державної виконавчої служби лише стосовно виконання судових рішень у справах цивільної юрисдикції. І хоча за предметною спрямованістю таке оскарження є публічно-правовим спором, однак воно нерозривно пов’язане із виконанням судового рішення. Тому законодавець вирішив, що більш доцільно, щоб судовий контроль за виконанням судових рішень здійснював суд, який видав виконавчий документ. У всіх інших випадках, коли оскарження рішень, дій або бездіяльності державної виконавчої служби не віднесено до юрисдикції інших судів, таке оскарження повинно бути предметом юрисдикції адміністративних судів. Йдеться насамперед про рішення, дії чи бездіяльність державної виконавчої служби у відносинах щодо виконання судових рішень в адміністративних справах, а також рішень інших органів та посадових осіб, що можуть виконуватися примусово.</w:t>
      </w:r>
    </w:p>
    <w:p>
      <w:pPr>
        <w:pStyle w:val="Style17"/>
        <w:widowControl/>
        <w:overflowPunct w:val="true"/>
        <w:bidi w:val="0"/>
        <w:spacing w:lineRule="auto" w:line="360" w:before="0" w:after="0"/>
        <w:ind w:left="0" w:right="0" w:firstLine="680"/>
        <w:jc w:val="both"/>
        <w:rPr/>
      </w:pPr>
      <w:r>
        <w:rPr>
          <w:rStyle w:val="Style14"/>
          <w:rFonts w:eastAsia="Calibri" w:cs="Times New Roman" w:ascii="Times New Roman" w:hAnsi="Times New Roman"/>
          <w:b w:val="false"/>
          <w:bCs w:val="false"/>
          <w:color w:val="000000"/>
          <w:sz w:val="28"/>
          <w:szCs w:val="28"/>
          <w:lang w:val="uk-UA" w:eastAsia="en-US" w:bidi="ar-SA"/>
        </w:rPr>
        <w:t>Зрозуміло, що передбачити усі можливі проблеми, які пов’язані з межами юрисдикції адміністративних судів, а тим більше заздалегідь усунути їх на законодавчому рівні навряд чи можливо, тому значну роль у розв‘язанні цих проблем повинна відігравати судова практика адміністративних судів.</w:t>
      </w:r>
    </w:p>
    <w:p>
      <w:pPr>
        <w:pStyle w:val="Style17"/>
        <w:widowControl/>
        <w:overflowPunct w:val="true"/>
        <w:bidi w:val="0"/>
        <w:spacing w:lineRule="auto" w:line="360" w:before="0" w:after="0"/>
        <w:ind w:left="0" w:right="0" w:firstLine="680"/>
        <w:jc w:val="both"/>
        <w:rPr/>
      </w:pPr>
      <w:r>
        <w:rPr>
          <w:rStyle w:val="Style14"/>
          <w:rFonts w:eastAsia="Calibri" w:cs="Times New Roman" w:ascii="Times New Roman" w:hAnsi="Times New Roman"/>
          <w:b w:val="false"/>
          <w:bCs w:val="false"/>
          <w:color w:val="000000"/>
          <w:sz w:val="28"/>
          <w:szCs w:val="28"/>
          <w:lang w:val="uk-UA" w:eastAsia="en-US" w:bidi="ar-SA"/>
        </w:rPr>
        <w:t>Для визначення підсудності тих чи інших відносин адміністративним судам важливо уміти правильно визначати правову природу таких правовідносин – чи є вони публічно-правовими, чи приватноправовими.</w:t>
      </w:r>
    </w:p>
    <w:p>
      <w:pPr>
        <w:pStyle w:val="Style17"/>
        <w:widowControl/>
        <w:overflowPunct w:val="true"/>
        <w:bidi w:val="0"/>
        <w:spacing w:lineRule="auto" w:line="360" w:before="0" w:after="0"/>
        <w:ind w:left="0" w:right="0" w:firstLine="680"/>
        <w:jc w:val="both"/>
        <w:rPr>
          <w:rStyle w:val="Style14"/>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r>
    </w:p>
    <w:p>
      <w:pPr>
        <w:pStyle w:val="Style17"/>
        <w:widowControl/>
        <w:numPr>
          <w:ilvl w:val="0"/>
          <w:numId w:val="0"/>
        </w:numPr>
        <w:overflowPunct w:val="true"/>
        <w:bidi w:val="0"/>
        <w:spacing w:lineRule="auto" w:line="360" w:before="0" w:after="0"/>
        <w:ind w:left="720" w:right="0" w:hanging="0"/>
        <w:jc w:val="center"/>
        <w:rPr>
          <w:rFonts w:ascii="Times New Roman" w:hAnsi="Times New Roman" w:eastAsia="Calibri" w:cs="Times New Roman"/>
          <w:b w:val="false"/>
          <w:b w:val="false"/>
          <w:bCs w:val="false"/>
          <w:color w:val="000000"/>
          <w:sz w:val="28"/>
          <w:szCs w:val="28"/>
          <w:lang w:val="uk-UA" w:eastAsia="en-US" w:bidi="ar-SA"/>
        </w:rPr>
      </w:pPr>
      <w:r>
        <w:rPr>
          <w:rStyle w:val="Style14"/>
          <w:rFonts w:eastAsia="Calibri" w:cs="Times New Roman" w:ascii="Times New Roman" w:hAnsi="Times New Roman"/>
          <w:i w:val="false"/>
          <w:iCs w:val="false"/>
          <w:color w:val="000000"/>
          <w:sz w:val="28"/>
          <w:szCs w:val="28"/>
          <w:lang w:val="uk-UA" w:eastAsia="en-US" w:bidi="ar-SA"/>
        </w:rPr>
        <w:t>3.</w:t>
      </w:r>
      <w:r>
        <w:rPr>
          <w:rStyle w:val="Style14"/>
          <w:rFonts w:eastAsia="Calibri" w:cs="Times New Roman" w:ascii="Times New Roman" w:hAnsi="Times New Roman"/>
          <w:i w:val="false"/>
          <w:iCs w:val="false"/>
          <w:color w:val="000000"/>
          <w:sz w:val="28"/>
          <w:szCs w:val="28"/>
          <w:lang w:val="uk-UA" w:eastAsia="en-US" w:bidi="ar-SA"/>
        </w:rPr>
        <w:t>2</w:t>
      </w:r>
      <w:r>
        <w:rPr>
          <w:rStyle w:val="Style14"/>
          <w:rFonts w:eastAsia="Calibri" w:cs="Times New Roman" w:ascii="Times New Roman" w:hAnsi="Times New Roman"/>
          <w:i w:val="false"/>
          <w:iCs w:val="false"/>
          <w:color w:val="000000"/>
          <w:sz w:val="28"/>
          <w:szCs w:val="28"/>
          <w:lang w:val="uk-UA" w:eastAsia="en-US" w:bidi="ar-SA"/>
        </w:rPr>
        <w:t xml:space="preserve"> </w:t>
      </w:r>
      <w:r>
        <w:rPr>
          <w:rStyle w:val="Style14"/>
          <w:rFonts w:eastAsia="Calibri" w:cs="Times New Roman" w:ascii="Times New Roman" w:hAnsi="Times New Roman"/>
          <w:i w:val="false"/>
          <w:iCs w:val="false"/>
          <w:color w:val="000000"/>
          <w:sz w:val="28"/>
          <w:szCs w:val="28"/>
          <w:lang w:val="uk-UA" w:eastAsia="en-US" w:bidi="ar-SA"/>
        </w:rPr>
        <w:t>Р</w:t>
      </w:r>
      <w:r>
        <w:rPr>
          <w:rStyle w:val="Style14"/>
          <w:rFonts w:eastAsia="Calibri" w:cs="Times New Roman" w:ascii="Times New Roman" w:hAnsi="Times New Roman"/>
          <w:i w:val="false"/>
          <w:iCs w:val="false"/>
          <w:color w:val="000000"/>
          <w:sz w:val="28"/>
          <w:szCs w:val="28"/>
          <w:lang w:val="uk-UA" w:eastAsia="en-US" w:bidi="ar-SA"/>
        </w:rPr>
        <w:t xml:space="preserve">озмежуванн </w:t>
      </w:r>
      <w:r>
        <w:rPr>
          <w:rStyle w:val="Style14"/>
          <w:rFonts w:eastAsia="Calibri" w:cs="Times New Roman" w:ascii="Times New Roman" w:hAnsi="Times New Roman"/>
          <w:i w:val="false"/>
          <w:iCs w:val="false"/>
          <w:color w:val="000000"/>
          <w:sz w:val="28"/>
          <w:szCs w:val="28"/>
          <w:lang w:val="uk-UA" w:eastAsia="en-US" w:bidi="ar-SA"/>
        </w:rPr>
        <w:t>а</w:t>
      </w:r>
      <w:r>
        <w:rPr>
          <w:rStyle w:val="Style14"/>
          <w:rFonts w:eastAsia="Calibri" w:cs="Times New Roman" w:ascii="Times New Roman" w:hAnsi="Times New Roman"/>
          <w:i w:val="false"/>
          <w:iCs w:val="false"/>
          <w:color w:val="000000"/>
          <w:sz w:val="28"/>
          <w:szCs w:val="28"/>
          <w:lang w:val="uk-UA" w:eastAsia="en-US" w:bidi="ar-SA"/>
        </w:rPr>
        <w:t>дміністративн</w:t>
      </w:r>
      <w:r>
        <w:rPr>
          <w:rStyle w:val="Style14"/>
          <w:rFonts w:eastAsia="Calibri" w:cs="Times New Roman" w:ascii="Times New Roman" w:hAnsi="Times New Roman"/>
          <w:i w:val="false"/>
          <w:iCs w:val="false"/>
          <w:color w:val="000000"/>
          <w:sz w:val="28"/>
          <w:szCs w:val="28"/>
          <w:lang w:val="uk-UA" w:eastAsia="en-US" w:bidi="ar-SA"/>
        </w:rPr>
        <w:t>ої</w:t>
      </w:r>
      <w:r>
        <w:rPr>
          <w:rStyle w:val="Style14"/>
          <w:rFonts w:eastAsia="Calibri" w:cs="Times New Roman" w:ascii="Times New Roman" w:hAnsi="Times New Roman"/>
          <w:i w:val="false"/>
          <w:iCs w:val="false"/>
          <w:color w:val="000000"/>
          <w:sz w:val="28"/>
          <w:szCs w:val="28"/>
          <w:lang w:val="uk-UA" w:eastAsia="en-US" w:bidi="ar-SA"/>
        </w:rPr>
        <w:t xml:space="preserve"> і </w:t>
      </w:r>
      <w:r>
        <w:rPr>
          <w:rStyle w:val="Style14"/>
          <w:rFonts w:eastAsia="Calibri" w:cs="Times New Roman" w:ascii="Times New Roman" w:hAnsi="Times New Roman"/>
          <w:i w:val="false"/>
          <w:iCs w:val="false"/>
          <w:color w:val="000000"/>
          <w:sz w:val="28"/>
          <w:szCs w:val="28"/>
          <w:lang w:val="uk-UA" w:eastAsia="en-US" w:bidi="ar-SA"/>
        </w:rPr>
        <w:t>господарської</w:t>
      </w:r>
      <w:r>
        <w:rPr>
          <w:rStyle w:val="Style14"/>
          <w:rFonts w:eastAsia="Calibri" w:cs="Times New Roman" w:ascii="Times New Roman" w:hAnsi="Times New Roman"/>
          <w:i w:val="false"/>
          <w:iCs w:val="false"/>
          <w:color w:val="000000"/>
          <w:sz w:val="28"/>
          <w:szCs w:val="28"/>
          <w:lang w:val="uk-UA" w:eastAsia="en-US" w:bidi="ar-SA"/>
        </w:rPr>
        <w:t xml:space="preserve"> юрисдик</w:t>
      </w:r>
      <w:r>
        <w:rPr>
          <w:rStyle w:val="Style14"/>
          <w:rFonts w:eastAsia="Calibri" w:cs="Times New Roman" w:ascii="Times New Roman" w:hAnsi="Times New Roman"/>
          <w:i w:val="false"/>
          <w:iCs w:val="false"/>
          <w:color w:val="000000"/>
          <w:sz w:val="28"/>
          <w:szCs w:val="28"/>
          <w:lang w:val="uk-UA" w:eastAsia="en-US" w:bidi="ar-SA"/>
        </w:rPr>
        <w:t>ц</w:t>
      </w:r>
      <w:r>
        <w:rPr>
          <w:rStyle w:val="Style14"/>
          <w:rFonts w:eastAsia="Calibri" w:cs="Times New Roman" w:ascii="Times New Roman" w:hAnsi="Times New Roman"/>
          <w:i w:val="false"/>
          <w:iCs w:val="false"/>
          <w:color w:val="000000"/>
          <w:sz w:val="28"/>
          <w:szCs w:val="28"/>
          <w:lang w:val="uk-UA" w:eastAsia="en-US" w:bidi="ar-SA"/>
        </w:rPr>
        <w:t xml:space="preserve">ії </w:t>
      </w:r>
    </w:p>
    <w:p>
      <w:pPr>
        <w:pStyle w:val="Style17"/>
        <w:widowControl/>
        <w:numPr>
          <w:ilvl w:val="0"/>
          <w:numId w:val="0"/>
        </w:numPr>
        <w:overflowPunct w:val="true"/>
        <w:bidi w:val="0"/>
        <w:spacing w:lineRule="auto" w:line="360" w:before="0" w:after="0"/>
        <w:ind w:left="720" w:right="0" w:hanging="0"/>
        <w:jc w:val="both"/>
        <w:rPr>
          <w:rStyle w:val="Style14"/>
          <w:rFonts w:ascii="Times New Roman" w:hAnsi="Times New Roman" w:eastAsia="Calibri" w:cs="Times New Roman"/>
          <w:b w:val="false"/>
          <w:b w:val="false"/>
          <w:bCs w:val="false"/>
          <w:color w:val="000000"/>
          <w:sz w:val="28"/>
          <w:szCs w:val="28"/>
          <w:lang w:val="uk-UA" w:eastAsia="en-US" w:bidi="ar-SA"/>
        </w:rPr>
      </w:pPr>
      <w:r>
        <w:rPr>
          <w:rFonts w:eastAsia="Calibri" w:cs="Times New Roman" w:ascii="Times New Roman" w:hAnsi="Times New Roman"/>
          <w:b w:val="false"/>
          <w:bCs w:val="false"/>
          <w:color w:val="000000"/>
          <w:sz w:val="28"/>
          <w:szCs w:val="28"/>
          <w:lang w:val="uk-UA" w:eastAsia="en-US" w:bidi="ar-SA"/>
        </w:rPr>
      </w:r>
    </w:p>
    <w:p>
      <w:pPr>
        <w:pStyle w:val="Style17"/>
        <w:widowControl/>
        <w:overflowPunct w:val="true"/>
        <w:bidi w:val="0"/>
        <w:spacing w:lineRule="auto" w:line="360" w:before="0" w:after="0"/>
        <w:ind w:left="0" w:right="0" w:firstLine="680"/>
        <w:jc w:val="both"/>
        <w:rPr/>
      </w:pPr>
      <w:r>
        <w:rPr>
          <w:rStyle w:val="Style14"/>
          <w:rFonts w:eastAsia="Calibri" w:cs="Times New Roman" w:ascii="Times New Roman" w:hAnsi="Times New Roman"/>
          <w:b w:val="false"/>
          <w:bCs w:val="false"/>
          <w:color w:val="000000"/>
          <w:sz w:val="28"/>
          <w:szCs w:val="28"/>
          <w:lang w:val="uk-UA" w:eastAsia="en-US" w:bidi="ar-SA"/>
        </w:rPr>
        <w:t>Відповідно до ст. 124 Конституції України, юрисдикція судів поширюється на всі правовідносини, що виникають у державі. Судочинство в Україні здійснюється Конституційним Судом України та судами загальної юрисдикції. Згідно із положеннями ст.17 Закону України «Про судоустрій і статус суддів» від 07.07.2010 p. № 2453-VI систему судів загальної юрисдикції складають: місцеві суди, апеляційні суди, вищі спеціалізовані суди, Верховний Суд України, який є найвищим судовим органом у системі судів загальної юрисдикції. Суди загальної юрисдикції спеціалізуються на розгляді цивільних, кримінальних, господарських та адміністративних справ, а також справ про адміністративні правопорушень.</w:t>
      </w:r>
    </w:p>
    <w:p>
      <w:pPr>
        <w:pStyle w:val="Style17"/>
        <w:widowControl/>
        <w:overflowPunct w:val="true"/>
        <w:bidi w:val="0"/>
        <w:spacing w:lineRule="auto" w:line="360" w:before="0" w:after="0"/>
        <w:ind w:left="0" w:right="0" w:firstLine="680"/>
        <w:jc w:val="both"/>
        <w:rPr/>
      </w:pPr>
      <w:r>
        <w:rPr>
          <w:rStyle w:val="Style14"/>
          <w:rFonts w:eastAsia="Calibri" w:cs="Times New Roman" w:ascii="Times New Roman" w:hAnsi="Times New Roman"/>
          <w:b w:val="false"/>
          <w:bCs w:val="false"/>
          <w:color w:val="000000"/>
          <w:sz w:val="28"/>
          <w:szCs w:val="28"/>
          <w:lang w:val="uk-UA" w:eastAsia="en-US" w:bidi="ar-SA"/>
        </w:rPr>
        <w:t>Створення в Україні системи адміністративних судів призвело до виникнення юрисдикційних конфліктів стосовно більшості сфер державного управління, зокрема, адмініструвань податків, захисту економічної конкуренції, реєстрації речових прав на нерухоме майно, охорони прав інтелектуальної власності, розпорядження землями державної (комунальної) форми власності тощо [22].</w:t>
      </w:r>
    </w:p>
    <w:p>
      <w:pPr>
        <w:pStyle w:val="Style17"/>
        <w:widowControl/>
        <w:overflowPunct w:val="true"/>
        <w:bidi w:val="0"/>
        <w:spacing w:lineRule="auto" w:line="360" w:before="0" w:after="0"/>
        <w:ind w:left="0" w:right="0" w:firstLine="680"/>
        <w:jc w:val="both"/>
        <w:rPr/>
      </w:pPr>
      <w:r>
        <w:rPr>
          <w:rStyle w:val="Style14"/>
          <w:rFonts w:eastAsia="Calibri" w:cs="Times New Roman" w:ascii="Times New Roman" w:hAnsi="Times New Roman"/>
          <w:b w:val="false"/>
          <w:bCs w:val="false"/>
          <w:color w:val="000000"/>
          <w:sz w:val="28"/>
          <w:szCs w:val="28"/>
          <w:lang w:val="uk-UA" w:eastAsia="en-US" w:bidi="ar-SA"/>
        </w:rPr>
        <w:t xml:space="preserve">У теорії і практиці останніх років переваги набуває точка зору, що головним критерієм розмежування судових юрисдикцій повинен бути не суб’єктний склад спору (наявність серед учасників останнього суб’єкта владних повноважень), а його предмет, зміст спірних правовідносин. </w:t>
      </w:r>
      <w:r>
        <w:rPr>
          <w:rStyle w:val="Style14"/>
          <w:rFonts w:eastAsia="Calibri" w:cs="Times New Roman" w:ascii="Times New Roman" w:hAnsi="Times New Roman"/>
          <w:b w:val="false"/>
          <w:bCs w:val="false"/>
          <w:color w:val="000000"/>
          <w:sz w:val="28"/>
          <w:szCs w:val="28"/>
          <w:lang w:val="uk-UA" w:eastAsia="en-US" w:bidi="ar-SA"/>
        </w:rPr>
        <w:t>Якщо за змістом правовідносини є господарськими, а предметом, з приводу якого виник спір, виступає господарська діяльність, то такого роду спори повинні розглядатися господарськими судами за правилами господарського судочинства [</w:t>
      </w:r>
      <w:r>
        <w:rPr>
          <w:rStyle w:val="Style14"/>
          <w:rFonts w:eastAsia="Calibri" w:cs="Times New Roman" w:ascii="Times New Roman" w:hAnsi="Times New Roman"/>
          <w:b w:val="false"/>
          <w:bCs w:val="false"/>
          <w:color w:val="000000"/>
          <w:sz w:val="28"/>
          <w:szCs w:val="28"/>
          <w:lang w:val="uk-UA" w:eastAsia="en-US" w:bidi="ar-SA"/>
        </w:rPr>
        <w:t>18</w:t>
      </w:r>
      <w:r>
        <w:rPr>
          <w:rStyle w:val="Style14"/>
          <w:rFonts w:eastAsia="Calibri" w:cs="Times New Roman" w:ascii="Times New Roman" w:hAnsi="Times New Roman"/>
          <w:b w:val="false"/>
          <w:bCs w:val="false"/>
          <w:color w:val="000000"/>
          <w:sz w:val="28"/>
          <w:szCs w:val="28"/>
          <w:lang w:val="uk-UA" w:eastAsia="en-US" w:bidi="ar-SA"/>
        </w:rPr>
        <w:t>].</w:t>
      </w:r>
    </w:p>
    <w:p>
      <w:pPr>
        <w:pStyle w:val="Style17"/>
        <w:widowControl/>
        <w:overflowPunct w:val="true"/>
        <w:bidi w:val="0"/>
        <w:spacing w:lineRule="auto" w:line="360" w:before="0" w:after="0"/>
        <w:ind w:left="0" w:right="0" w:firstLine="680"/>
        <w:jc w:val="both"/>
        <w:rPr/>
      </w:pPr>
      <w:r>
        <w:rPr>
          <w:rStyle w:val="Style14"/>
          <w:rFonts w:eastAsia="Calibri" w:cs="Times New Roman" w:ascii="Times New Roman" w:hAnsi="Times New Roman"/>
          <w:b w:val="false"/>
          <w:bCs w:val="false"/>
          <w:color w:val="000000"/>
          <w:sz w:val="28"/>
          <w:szCs w:val="28"/>
          <w:lang w:val="uk-UA" w:eastAsia="en-US" w:bidi="ar-SA"/>
        </w:rPr>
        <w:t>Зважаючи на це, для правильного розв’язання проблеми розмежувань господарської та адміністративної судових юрисдикцій вирішальне значення має насамперед чітка і недвозначна, заснована на чинному законодавстві кваліфікація відповідних відносин в економіці як господарських, відмежування цих відносин від адміністративних та інших суміжних.</w:t>
      </w:r>
    </w:p>
    <w:p>
      <w:pPr>
        <w:pStyle w:val="Style17"/>
        <w:widowControl/>
        <w:overflowPunct w:val="true"/>
        <w:bidi w:val="0"/>
        <w:spacing w:lineRule="auto" w:line="360" w:before="0" w:after="0"/>
        <w:ind w:left="0" w:right="0" w:firstLine="680"/>
        <w:jc w:val="both"/>
        <w:rPr/>
      </w:pPr>
      <w:r>
        <w:rPr>
          <w:rStyle w:val="Style14"/>
          <w:rFonts w:eastAsia="Calibri" w:cs="Times New Roman" w:ascii="Times New Roman" w:hAnsi="Times New Roman"/>
          <w:b w:val="false"/>
          <w:bCs w:val="false"/>
          <w:color w:val="000000"/>
          <w:sz w:val="28"/>
          <w:szCs w:val="28"/>
          <w:lang w:val="uk-UA" w:eastAsia="en-US" w:bidi="ar-SA"/>
        </w:rPr>
        <w:t>Основа розмежувань господарських і адміністративних правовідносин на законодавчому рівні закріплена в ч. І ст.4 Господарського кодексу України (далі - ГК), відповідно до якої не є предметом регулювання цього Кодексу адміністративні та інші відносини управління за участі суб’єктів господарювання, в яких орган державної влади або місцевого самоврядувань не є суб’єктом, наділеним господарською компетенцією і безпосередньо не здійснює організаційно- господарських повноважень щодо суб’єкта господарювання.</w:t>
      </w:r>
    </w:p>
    <w:p>
      <w:pPr>
        <w:pStyle w:val="Style17"/>
        <w:widowControl/>
        <w:overflowPunct w:val="true"/>
        <w:bidi w:val="0"/>
        <w:spacing w:lineRule="auto" w:line="360" w:before="0" w:after="0"/>
        <w:ind w:left="0" w:right="0" w:firstLine="680"/>
        <w:jc w:val="both"/>
        <w:rPr/>
      </w:pPr>
      <w:r>
        <w:rPr>
          <w:rStyle w:val="Style14"/>
          <w:rFonts w:eastAsia="Calibri" w:cs="Times New Roman" w:ascii="Times New Roman" w:hAnsi="Times New Roman"/>
          <w:b w:val="false"/>
          <w:bCs w:val="false"/>
          <w:color w:val="000000"/>
          <w:sz w:val="28"/>
          <w:szCs w:val="28"/>
          <w:lang w:val="uk-UA" w:eastAsia="en-US" w:bidi="ar-SA"/>
        </w:rPr>
        <w:t>Зі змісту цієї норми вбачається беззаперечний висновок про те, що відносини, в яких орган державної влади або місцевого самоврядування, що наділені у відношенні суб’єктів господарювань господарською компетенцією і правом здійснювати щодо них організаційно-господарські повноваження є суто господарськими. У зв’язку з цим, спори, що виникають із зазначених правовідносин належать лише до юрисдикції господарських судів.</w:t>
      </w:r>
    </w:p>
    <w:p>
      <w:pPr>
        <w:pStyle w:val="Style17"/>
        <w:widowControl/>
        <w:overflowPunct w:val="true"/>
        <w:bidi w:val="0"/>
        <w:spacing w:lineRule="auto" w:line="360" w:before="0" w:after="0"/>
        <w:ind w:left="0" w:right="0" w:firstLine="680"/>
        <w:jc w:val="both"/>
        <w:rPr/>
      </w:pPr>
      <w:r>
        <w:rPr>
          <w:rStyle w:val="Style14"/>
          <w:rFonts w:eastAsia="Calibri" w:cs="Times New Roman" w:ascii="Times New Roman" w:hAnsi="Times New Roman"/>
          <w:b w:val="false"/>
          <w:bCs w:val="false"/>
          <w:color w:val="000000"/>
          <w:sz w:val="28"/>
          <w:szCs w:val="28"/>
          <w:lang w:val="uk-UA" w:eastAsia="en-US" w:bidi="ar-SA"/>
        </w:rPr>
        <w:t>Правовий зміст організаційно - господарських правовідносин визначено в ч. б ст. З ГК - це відносини, які складаються між суб’єктами господарювання та суб’єктами організаційно-господарських повноважень у процесі управління господарською діяльністю.</w:t>
      </w:r>
    </w:p>
    <w:p>
      <w:pPr>
        <w:pStyle w:val="Style17"/>
        <w:widowControl/>
        <w:overflowPunct w:val="true"/>
        <w:bidi w:val="0"/>
        <w:spacing w:lineRule="auto" w:line="360" w:before="0" w:after="0"/>
        <w:ind w:left="0" w:right="0" w:firstLine="680"/>
        <w:jc w:val="both"/>
        <w:rPr/>
      </w:pPr>
      <w:r>
        <w:rPr>
          <w:rStyle w:val="Style14"/>
          <w:rFonts w:eastAsia="Calibri" w:cs="Times New Roman" w:ascii="Times New Roman" w:hAnsi="Times New Roman"/>
          <w:b w:val="false"/>
          <w:bCs w:val="false"/>
          <w:color w:val="000000"/>
          <w:sz w:val="28"/>
          <w:szCs w:val="28"/>
          <w:lang w:val="uk-UA" w:eastAsia="en-US" w:bidi="ar-SA"/>
        </w:rPr>
        <w:t>Організаційно - господарські правовідносини виступають регулятором господарської діяльності, відображають її організаційний аспект та організаційну складову. Він розглядає управління в сфері господарювання як цілеспрямовану діяльність з організації і забезпечень господарювання у відповідності до вимог суспільного господарського порядку, що здійснюється на всіх рівнях національної економічної системи органами державної виконавчої влади та органами місцевого самоврядування, наділеними господарською компетенцією та іншими організаціями, які виступають засновниками суб’єктів господарювання чи здійснюють у відношенні щодо них організаційно-господарські повноваження [</w:t>
      </w:r>
      <w:r>
        <w:rPr>
          <w:rStyle w:val="Style14"/>
          <w:rFonts w:eastAsia="Calibri" w:cs="Times New Roman" w:ascii="Times New Roman" w:hAnsi="Times New Roman"/>
          <w:b w:val="false"/>
          <w:bCs w:val="false"/>
          <w:color w:val="000000"/>
          <w:sz w:val="28"/>
          <w:szCs w:val="28"/>
          <w:lang w:val="uk-UA" w:eastAsia="en-US" w:bidi="ar-SA"/>
        </w:rPr>
        <w:t>2</w:t>
      </w:r>
      <w:r>
        <w:rPr>
          <w:rStyle w:val="Style14"/>
          <w:rFonts w:eastAsia="Calibri" w:cs="Times New Roman" w:ascii="Times New Roman" w:hAnsi="Times New Roman"/>
          <w:b w:val="false"/>
          <w:bCs w:val="false"/>
          <w:color w:val="000000"/>
          <w:sz w:val="28"/>
          <w:szCs w:val="28"/>
          <w:lang w:val="uk-UA" w:eastAsia="en-US" w:bidi="ar-SA"/>
        </w:rPr>
        <w:t>7].</w:t>
      </w:r>
    </w:p>
    <w:p>
      <w:pPr>
        <w:pStyle w:val="Style17"/>
        <w:widowControl/>
        <w:overflowPunct w:val="true"/>
        <w:bidi w:val="0"/>
        <w:spacing w:lineRule="auto" w:line="360" w:before="0" w:after="0"/>
        <w:ind w:left="0" w:right="0" w:firstLine="680"/>
        <w:jc w:val="both"/>
        <w:rPr/>
      </w:pPr>
      <w:r>
        <w:rPr>
          <w:rStyle w:val="Style14"/>
          <w:rFonts w:eastAsia="Calibri" w:cs="Times New Roman" w:ascii="Times New Roman" w:hAnsi="Times New Roman"/>
          <w:b w:val="false"/>
          <w:bCs w:val="false"/>
          <w:color w:val="000000"/>
          <w:sz w:val="28"/>
          <w:szCs w:val="28"/>
          <w:lang w:val="uk-UA" w:eastAsia="en-US" w:bidi="ar-SA"/>
        </w:rPr>
        <w:t>За своєю правовою природою організа - ційно-господарські правовідносини є вертикальними правовідносинами, оскільки одним з їх учасників завжди є суб’єкт, наділений у відношенні іншого - суб’єкта господарювання, повноваженнями управління в процесі господарської діяльності.</w:t>
      </w:r>
    </w:p>
    <w:p>
      <w:pPr>
        <w:pStyle w:val="Style17"/>
        <w:widowControl/>
        <w:overflowPunct w:val="true"/>
        <w:bidi w:val="0"/>
        <w:spacing w:lineRule="auto" w:line="360" w:before="0" w:after="0"/>
        <w:ind w:left="0" w:right="0" w:firstLine="680"/>
        <w:jc w:val="both"/>
        <w:rPr/>
      </w:pPr>
      <w:r>
        <w:rPr>
          <w:rStyle w:val="Style14"/>
          <w:rFonts w:eastAsia="Calibri" w:cs="Times New Roman" w:ascii="Times New Roman" w:hAnsi="Times New Roman"/>
          <w:b w:val="false"/>
          <w:bCs w:val="false"/>
          <w:color w:val="000000"/>
          <w:sz w:val="28"/>
          <w:szCs w:val="28"/>
          <w:lang w:val="uk-UA" w:eastAsia="en-US" w:bidi="ar-SA"/>
        </w:rPr>
        <w:t>В теорії господарського права організаційно-господарськими вважають, відносини, що виникають:</w:t>
      </w:r>
    </w:p>
    <w:p>
      <w:pPr>
        <w:pStyle w:val="Style17"/>
        <w:widowControl/>
        <w:overflowPunct w:val="true"/>
        <w:bidi w:val="0"/>
        <w:spacing w:lineRule="auto" w:line="360" w:before="0" w:after="0"/>
        <w:ind w:left="0" w:right="0" w:firstLine="680"/>
        <w:jc w:val="both"/>
        <w:rPr/>
      </w:pPr>
      <w:r>
        <w:rPr>
          <w:rStyle w:val="Style14"/>
          <w:rFonts w:eastAsia="Calibri" w:cs="Times New Roman" w:ascii="Times New Roman" w:hAnsi="Times New Roman"/>
          <w:b w:val="false"/>
          <w:bCs w:val="false"/>
          <w:color w:val="000000"/>
          <w:sz w:val="28"/>
          <w:szCs w:val="28"/>
          <w:lang w:val="uk-UA" w:eastAsia="en-US" w:bidi="ar-SA"/>
        </w:rPr>
        <w:t>1) при реєстрації та припинення діяльності суб’єктів господарювання, ліцензуванні господарської діяльності, видачі патентів та інших дозвільних документів;</w:t>
      </w:r>
    </w:p>
    <w:p>
      <w:pPr>
        <w:pStyle w:val="Style17"/>
        <w:widowControl/>
        <w:overflowPunct w:val="true"/>
        <w:bidi w:val="0"/>
        <w:spacing w:lineRule="auto" w:line="360" w:before="0" w:after="0"/>
        <w:ind w:left="0" w:right="0" w:firstLine="680"/>
        <w:jc w:val="both"/>
        <w:rPr/>
      </w:pPr>
      <w:r>
        <w:rPr>
          <w:rStyle w:val="Style14"/>
          <w:rFonts w:eastAsia="Calibri" w:cs="Times New Roman" w:ascii="Times New Roman" w:hAnsi="Times New Roman"/>
          <w:b w:val="false"/>
          <w:bCs w:val="false"/>
          <w:color w:val="000000"/>
          <w:sz w:val="28"/>
          <w:szCs w:val="28"/>
          <w:lang w:val="uk-UA" w:eastAsia="en-US" w:bidi="ar-SA"/>
        </w:rPr>
        <w:t>2) в процесі формувань державного замовлення, виконанні програм соціально - економічного розвитку, забезпечення розвитку конкуренції, здійснення функції державного контролю в сфері господарювання, відновленні платоспроможності суб’єктів підприємництва або визнання їх банкротами, забезпечення розрахунково-касової дисципліни, а також в інших випадках, коли є необхідність державного втручання в сучасні економічні відносини.</w:t>
      </w:r>
    </w:p>
    <w:p>
      <w:pPr>
        <w:pStyle w:val="Style17"/>
        <w:widowControl/>
        <w:overflowPunct w:val="true"/>
        <w:bidi w:val="0"/>
        <w:spacing w:lineRule="auto" w:line="360" w:before="0" w:after="0"/>
        <w:ind w:left="0" w:right="0" w:firstLine="680"/>
        <w:jc w:val="both"/>
        <w:rPr/>
      </w:pPr>
      <w:r>
        <w:rPr>
          <w:rStyle w:val="Style14"/>
          <w:rFonts w:eastAsia="Calibri" w:cs="Times New Roman" w:ascii="Times New Roman" w:hAnsi="Times New Roman"/>
          <w:b w:val="false"/>
          <w:bCs w:val="false"/>
          <w:color w:val="000000"/>
          <w:sz w:val="28"/>
          <w:szCs w:val="28"/>
          <w:lang w:val="uk-UA" w:eastAsia="en-US" w:bidi="ar-SA"/>
        </w:rPr>
        <w:t>Організаційно-господарські правовідносини як вертикальні відносини не можуть існувати окремо від горизонтальних правовідносин, тобто правовідносин, що виникають між суб’єктами господарювання при безпосередньому здійсненні ними господарської діяльності, оскільки втративши майнову основу, втрачається сенс в регулюванні господарської діяльності. У той же час, існування господарсько-виробничих відносин є неможливим без відповідної їх організації.</w:t>
      </w:r>
    </w:p>
    <w:p>
      <w:pPr>
        <w:pStyle w:val="Style17"/>
        <w:widowControl/>
        <w:overflowPunct w:val="true"/>
        <w:bidi w:val="0"/>
        <w:spacing w:lineRule="auto" w:line="360" w:before="0" w:after="0"/>
        <w:ind w:left="0" w:right="0" w:firstLine="680"/>
        <w:jc w:val="both"/>
        <w:rPr/>
      </w:pPr>
      <w:r>
        <w:rPr>
          <w:rStyle w:val="Style14"/>
          <w:rFonts w:eastAsia="Calibri" w:cs="Times New Roman" w:ascii="Times New Roman" w:hAnsi="Times New Roman"/>
          <w:b w:val="false"/>
          <w:bCs w:val="false"/>
          <w:color w:val="000000"/>
          <w:sz w:val="28"/>
          <w:szCs w:val="28"/>
          <w:lang w:val="uk-UA" w:eastAsia="en-US" w:bidi="ar-SA"/>
        </w:rPr>
        <w:t>Отже, здійснюючи розмежування адміністративних і господарських правовідносин перш за все треба визначати яку саме компетенцію здійснює в спірних правовідносинах орган державної влади або орган місцевого самоврядування. Якщо названі органи влади виконують господарську компетенцію, спрямовану на організацію господарської діяльності, то вирішення спору належить виключно до юрисдикції господарського суду.</w:t>
      </w:r>
    </w:p>
    <w:p>
      <w:pPr>
        <w:pStyle w:val="Style17"/>
        <w:widowControl/>
        <w:overflowPunct w:val="true"/>
        <w:bidi w:val="0"/>
        <w:spacing w:lineRule="auto" w:line="360" w:before="0" w:after="0"/>
        <w:ind w:left="0" w:right="0" w:firstLine="680"/>
        <w:jc w:val="both"/>
        <w:rPr/>
      </w:pPr>
      <w:r>
        <w:rPr>
          <w:rStyle w:val="Style14"/>
          <w:rFonts w:eastAsia="Calibri" w:cs="Times New Roman" w:ascii="Times New Roman" w:hAnsi="Times New Roman"/>
          <w:b w:val="false"/>
          <w:bCs w:val="false"/>
          <w:color w:val="000000"/>
          <w:sz w:val="28"/>
          <w:szCs w:val="28"/>
          <w:lang w:val="uk-UA" w:eastAsia="en-US" w:bidi="ar-SA"/>
        </w:rPr>
        <w:t>Зазначений висновок повністю узгоджується з приписами ст.2 ГК про те, що учасниками відносин у сфері господарювання є суб’єкти господарювання, споживачі, а також й органи державної влади та органи місцевого самоврядувань, що наділені у відношенні до суб’єктів господарювання господарською компетенцією.</w:t>
      </w:r>
    </w:p>
    <w:p>
      <w:pPr>
        <w:pStyle w:val="Style17"/>
        <w:widowControl/>
        <w:overflowPunct w:val="true"/>
        <w:bidi w:val="0"/>
        <w:spacing w:lineRule="auto" w:line="360" w:before="0" w:after="0"/>
        <w:ind w:left="0" w:right="0" w:firstLine="680"/>
        <w:jc w:val="both"/>
        <w:rPr/>
      </w:pPr>
      <w:r>
        <w:rPr>
          <w:rStyle w:val="Style14"/>
          <w:rFonts w:eastAsia="Calibri" w:cs="Times New Roman" w:ascii="Times New Roman" w:hAnsi="Times New Roman"/>
          <w:b w:val="false"/>
          <w:bCs w:val="false"/>
          <w:color w:val="000000"/>
          <w:sz w:val="28"/>
          <w:szCs w:val="28"/>
          <w:lang w:val="uk-UA" w:eastAsia="en-US" w:bidi="ar-SA"/>
        </w:rPr>
        <w:t>Господарська компетенція органів державної влади та органів місцевого самоврядування реалізується від імені відповідної державної чи комунальної установи та в силу положень ч. З ст.8 ГК передбачає сукупність прав та обов’язків і обов’язків цього органу в сфері господарювань, що визначені Конституцією та законами України.</w:t>
      </w:r>
    </w:p>
    <w:p>
      <w:pPr>
        <w:pStyle w:val="Style17"/>
        <w:widowControl/>
        <w:overflowPunct w:val="true"/>
        <w:bidi w:val="0"/>
        <w:spacing w:lineRule="auto" w:line="360" w:before="0" w:after="0"/>
        <w:ind w:left="0" w:right="0" w:firstLine="680"/>
        <w:jc w:val="both"/>
        <w:rPr/>
      </w:pPr>
      <w:r>
        <w:rPr>
          <w:rStyle w:val="Style14"/>
          <w:rFonts w:eastAsia="Calibri" w:cs="Times New Roman" w:ascii="Times New Roman" w:hAnsi="Times New Roman"/>
          <w:b w:val="false"/>
          <w:bCs w:val="false"/>
          <w:color w:val="000000"/>
          <w:sz w:val="28"/>
          <w:szCs w:val="28"/>
          <w:lang w:val="uk-UA" w:eastAsia="en-US" w:bidi="ar-SA"/>
        </w:rPr>
        <w:t>Отже, виходячи з викладеного та положень ГК господарськими є відносини, що виникають між суб’єктами господарювання та суб’єктами організаційно-господарських повноважень у процесі управління господарською діяльністю в усіх сферах і галузях економіки.</w:t>
      </w:r>
    </w:p>
    <w:p>
      <w:pPr>
        <w:pStyle w:val="Style17"/>
        <w:widowControl/>
        <w:overflowPunct w:val="true"/>
        <w:bidi w:val="0"/>
        <w:spacing w:lineRule="auto" w:line="360" w:before="0" w:after="0"/>
        <w:ind w:left="0" w:right="0" w:firstLine="680"/>
        <w:jc w:val="both"/>
        <w:rPr/>
      </w:pPr>
      <w:r>
        <w:rPr>
          <w:rStyle w:val="Style14"/>
          <w:rFonts w:eastAsia="Calibri" w:cs="Times New Roman" w:ascii="Times New Roman" w:hAnsi="Times New Roman"/>
          <w:b w:val="false"/>
          <w:bCs w:val="false"/>
          <w:color w:val="000000"/>
          <w:sz w:val="28"/>
          <w:szCs w:val="28"/>
          <w:lang w:val="uk-UA" w:eastAsia="en-US" w:bidi="ar-SA"/>
        </w:rPr>
        <w:t>Такими, зокрема, є відносини, що виникають при утворенні власником (засновником) суб’єкта господарювань в ході реалізації ним організаційно-установчих повноважень (ст.135 ГК), при легалізації (легітимації) суб’єктів господарювань - їх державній реєстрації, ліцензуванні та патентуванні, при отриманні суб‘єктами господарювання документів дозвільного характеру у сфері господарської діяльності, при реєстрації їх згідно законодавства в органах пенсійного фонду, у податкових, митних та інших органах, а також при здійсненні інших елементів легалізації (легітимації).</w:t>
      </w:r>
    </w:p>
    <w:p>
      <w:pPr>
        <w:pStyle w:val="Style17"/>
        <w:widowControl/>
        <w:overflowPunct w:val="true"/>
        <w:bidi w:val="0"/>
        <w:spacing w:lineRule="auto" w:line="360" w:before="0" w:after="0"/>
        <w:ind w:left="0" w:right="0" w:firstLine="680"/>
        <w:jc w:val="both"/>
        <w:rPr/>
      </w:pPr>
      <w:r>
        <w:rPr>
          <w:rStyle w:val="Style14"/>
          <w:rFonts w:eastAsia="Calibri" w:cs="Times New Roman" w:ascii="Times New Roman" w:hAnsi="Times New Roman"/>
          <w:b w:val="false"/>
          <w:bCs w:val="false"/>
          <w:color w:val="000000"/>
          <w:sz w:val="28"/>
          <w:szCs w:val="28"/>
          <w:lang w:val="uk-UA" w:eastAsia="en-US" w:bidi="ar-SA"/>
        </w:rPr>
        <w:t>Господарськими (організаційно-господарськими) є відносини, що складаються при плануванні господарської діяльності суб’єктів господарювання, зокрема, при розгляді і узгодженні планів таких суб’єктів з виконавчими органами місцевих рад, при затвердженні фінансових планів державних і комунальних підприємств та інші у цій сфе</w:t>
      </w:r>
      <w:r>
        <w:rPr>
          <w:rStyle w:val="Style14"/>
          <w:rFonts w:eastAsia="Calibri" w:cs="Times New Roman" w:ascii="Times New Roman" w:hAnsi="Times New Roman"/>
          <w:b w:val="false"/>
          <w:bCs w:val="false"/>
          <w:color w:val="000000"/>
          <w:sz w:val="28"/>
          <w:szCs w:val="28"/>
          <w:lang w:val="uk-UA" w:eastAsia="en-US" w:bidi="ar-SA"/>
        </w:rPr>
        <w:t>рі.</w:t>
      </w:r>
    </w:p>
    <w:p>
      <w:pPr>
        <w:pStyle w:val="Style17"/>
        <w:widowControl/>
        <w:overflowPunct w:val="true"/>
        <w:bidi w:val="0"/>
        <w:spacing w:lineRule="auto" w:line="360" w:before="0" w:after="0"/>
        <w:ind w:left="0" w:right="0" w:firstLine="680"/>
        <w:jc w:val="both"/>
        <w:rPr/>
      </w:pPr>
      <w:r>
        <w:rPr>
          <w:rStyle w:val="Style14"/>
          <w:rFonts w:eastAsia="Calibri" w:cs="Times New Roman" w:ascii="Times New Roman" w:hAnsi="Times New Roman"/>
          <w:b w:val="false"/>
          <w:bCs w:val="false"/>
          <w:color w:val="000000"/>
          <w:sz w:val="28"/>
          <w:szCs w:val="28"/>
          <w:lang w:val="uk-UA" w:eastAsia="en-US" w:bidi="ar-SA"/>
        </w:rPr>
        <w:t>Слід підкреслити, що господарським (організаційно-господарським) відносинам на відміну від адміністративних у більшій мірі притаманна допустима диспозитивність, вони виступають як відносини партнерства, учасники яких спрямовують свою діяльність на рішення спільних завдань відповідно до встановлених Конституцією України і ГК мети і правових засад здійснення господарської діяльності, розвиток підприємництва, підвищення ефективності суспільного виробництва, забезпечення його соціальної спрямованості, утвердження суспільного господарського порядку в економічній системі України. Причому, як відзначається у спеціальній літературі, відносини партнерства поширюються й на сфери державної реєстрації суб‘єктів господарювання, отримання ними ліцензій, дозволів, доступу до природних, фінансових, трудових, інших ресурсів, контролю за господарською діяльністю, відповідальності та інш</w:t>
      </w:r>
      <w:r>
        <w:rPr>
          <w:rStyle w:val="Style14"/>
          <w:rFonts w:eastAsia="Calibri" w:cs="Times New Roman" w:ascii="Times New Roman" w:hAnsi="Times New Roman"/>
          <w:b w:val="false"/>
          <w:bCs w:val="false"/>
          <w:color w:val="000000"/>
          <w:sz w:val="28"/>
          <w:szCs w:val="28"/>
          <w:lang w:val="uk-UA" w:eastAsia="en-US" w:bidi="ar-SA"/>
        </w:rPr>
        <w:t>і [14].</w:t>
      </w:r>
    </w:p>
    <w:p>
      <w:pPr>
        <w:pStyle w:val="Style17"/>
        <w:widowControl/>
        <w:overflowPunct w:val="true"/>
        <w:bidi w:val="0"/>
        <w:spacing w:lineRule="auto" w:line="360" w:before="0" w:after="0"/>
        <w:ind w:left="0" w:right="0" w:firstLine="680"/>
        <w:jc w:val="both"/>
        <w:rPr/>
      </w:pPr>
      <w:r>
        <w:rPr>
          <w:rStyle w:val="Style14"/>
          <w:rFonts w:eastAsia="Calibri" w:cs="Times New Roman" w:ascii="Times New Roman" w:hAnsi="Times New Roman"/>
          <w:b w:val="false"/>
          <w:bCs w:val="false"/>
          <w:color w:val="000000"/>
          <w:sz w:val="28"/>
          <w:szCs w:val="28"/>
          <w:lang w:val="uk-UA" w:eastAsia="en-US" w:bidi="ar-SA"/>
        </w:rPr>
        <w:t>Підводячи підсумок, доцільно ще раз підкреслити, що головним критерієм розмежувань господарської та адміністративної су - дових юрисдикцій повинен бути не суб’єктний склад учасників спірних правовідносин, а насамперед предмет спору та зміст спірних правовідносин. При цьому спори з господарських відносин, як ці відносини розуміються у чинному законодавстві, підлягають розгляду господарськими судами за правилами господарського судочинства.</w:t>
      </w:r>
    </w:p>
    <w:p>
      <w:pPr>
        <w:pStyle w:val="2"/>
        <w:widowControl/>
        <w:numPr>
          <w:ilvl w:val="0"/>
          <w:numId w:val="0"/>
        </w:numPr>
        <w:overflowPunct w:val="true"/>
        <w:bidi w:val="0"/>
        <w:spacing w:lineRule="auto" w:line="360" w:before="0" w:after="0"/>
        <w:ind w:left="720" w:right="0" w:hanging="0"/>
        <w:jc w:val="both"/>
        <w:rPr>
          <w:rStyle w:val="Style14"/>
          <w:rFonts w:ascii="Times New Roman" w:hAnsi="Times New Roman" w:eastAsia="Calibri" w:cs="Times New Roman"/>
          <w:b w:val="false"/>
          <w:b w:val="false"/>
          <w:bCs w:val="false"/>
          <w:color w:val="000000"/>
          <w:sz w:val="28"/>
          <w:szCs w:val="28"/>
          <w:lang w:val="uk-UA" w:eastAsia="en-US" w:bidi="ar-SA"/>
        </w:rPr>
      </w:pPr>
      <w:r>
        <w:rPr/>
      </w:r>
    </w:p>
    <w:p>
      <w:pPr>
        <w:pStyle w:val="2"/>
        <w:widowControl/>
        <w:overflowPunct w:val="true"/>
        <w:bidi w:val="0"/>
        <w:spacing w:lineRule="auto" w:line="360" w:before="0" w:after="0"/>
        <w:ind w:left="0" w:right="0" w:hanging="0"/>
        <w:jc w:val="both"/>
        <w:rPr>
          <w:rStyle w:val="Style14"/>
          <w:rFonts w:ascii="Times New Roman" w:hAnsi="Times New Roman" w:eastAsia="Calibri" w:cs="Times New Roman"/>
          <w:b w:val="false"/>
          <w:b w:val="false"/>
          <w:bCs w:val="false"/>
          <w:color w:val="000000"/>
          <w:sz w:val="28"/>
          <w:szCs w:val="28"/>
          <w:lang w:val="uk-UA" w:eastAsia="en-US" w:bidi="ar-SA"/>
        </w:rPr>
      </w:pPr>
      <w:r>
        <w:rPr/>
      </w:r>
    </w:p>
    <w:p>
      <w:pPr>
        <w:pStyle w:val="2"/>
        <w:widowControl/>
        <w:overflowPunct w:val="true"/>
        <w:bidi w:val="0"/>
        <w:spacing w:lineRule="auto" w:line="360" w:before="0" w:after="0"/>
        <w:ind w:left="0" w:right="0" w:hanging="0"/>
        <w:jc w:val="both"/>
        <w:rPr>
          <w:rStyle w:val="Style14"/>
          <w:rFonts w:ascii="Times New Roman" w:hAnsi="Times New Roman" w:eastAsia="Calibri" w:cs="Times New Roman"/>
          <w:b w:val="false"/>
          <w:b w:val="false"/>
          <w:bCs w:val="false"/>
          <w:color w:val="000000"/>
          <w:sz w:val="28"/>
          <w:szCs w:val="28"/>
          <w:lang w:val="uk-UA" w:eastAsia="en-US" w:bidi="ar-SA"/>
        </w:rPr>
      </w:pPr>
      <w:r>
        <w:rPr/>
      </w:r>
    </w:p>
    <w:p>
      <w:pPr>
        <w:pStyle w:val="2"/>
        <w:widowControl/>
        <w:overflowPunct w:val="true"/>
        <w:bidi w:val="0"/>
        <w:spacing w:lineRule="auto" w:line="360" w:before="0" w:after="0"/>
        <w:ind w:left="0" w:right="0" w:hanging="0"/>
        <w:jc w:val="both"/>
        <w:rPr>
          <w:rStyle w:val="Style14"/>
          <w:rFonts w:ascii="Times New Roman" w:hAnsi="Times New Roman" w:eastAsia="Calibri" w:cs="Times New Roman"/>
          <w:b w:val="false"/>
          <w:b w:val="false"/>
          <w:bCs w:val="false"/>
          <w:color w:val="000000"/>
          <w:sz w:val="28"/>
          <w:szCs w:val="28"/>
          <w:lang w:val="uk-UA" w:eastAsia="en-US" w:bidi="ar-SA"/>
        </w:rPr>
      </w:pPr>
      <w:r>
        <w:rPr/>
      </w:r>
    </w:p>
    <w:p>
      <w:pPr>
        <w:pStyle w:val="2"/>
        <w:widowControl/>
        <w:overflowPunct w:val="true"/>
        <w:bidi w:val="0"/>
        <w:spacing w:lineRule="auto" w:line="360" w:before="0" w:after="0"/>
        <w:ind w:left="0" w:right="0" w:hanging="0"/>
        <w:jc w:val="both"/>
        <w:rPr>
          <w:rStyle w:val="Style14"/>
          <w:rFonts w:ascii="Times New Roman" w:hAnsi="Times New Roman" w:eastAsia="Calibri" w:cs="Times New Roman"/>
          <w:b w:val="false"/>
          <w:b w:val="false"/>
          <w:bCs w:val="false"/>
          <w:color w:val="000000"/>
          <w:sz w:val="28"/>
          <w:szCs w:val="28"/>
          <w:lang w:val="uk-UA" w:eastAsia="en-US" w:bidi="ar-SA"/>
        </w:rPr>
      </w:pPr>
      <w:r>
        <w:rPr/>
      </w:r>
    </w:p>
    <w:p>
      <w:pPr>
        <w:pStyle w:val="2"/>
        <w:widowControl/>
        <w:overflowPunct w:val="true"/>
        <w:bidi w:val="0"/>
        <w:spacing w:lineRule="auto" w:line="360" w:before="0" w:after="0"/>
        <w:ind w:left="0" w:right="0" w:hanging="0"/>
        <w:jc w:val="both"/>
        <w:rPr>
          <w:rStyle w:val="Style14"/>
          <w:rFonts w:ascii="Times New Roman" w:hAnsi="Times New Roman" w:eastAsia="Calibri" w:cs="Times New Roman"/>
          <w:b w:val="false"/>
          <w:b w:val="false"/>
          <w:bCs w:val="false"/>
          <w:color w:val="000000"/>
          <w:sz w:val="28"/>
          <w:szCs w:val="28"/>
          <w:lang w:val="uk-UA" w:eastAsia="en-US" w:bidi="ar-SA"/>
        </w:rPr>
      </w:pPr>
      <w:r>
        <w:rPr/>
      </w:r>
    </w:p>
    <w:p>
      <w:pPr>
        <w:pStyle w:val="2"/>
        <w:widowControl/>
        <w:overflowPunct w:val="true"/>
        <w:bidi w:val="0"/>
        <w:spacing w:lineRule="auto" w:line="360" w:before="0" w:after="0"/>
        <w:ind w:left="0" w:right="0" w:hanging="0"/>
        <w:jc w:val="both"/>
        <w:rPr>
          <w:rStyle w:val="Style14"/>
          <w:rFonts w:ascii="Times New Roman" w:hAnsi="Times New Roman" w:eastAsia="Calibri" w:cs="Times New Roman"/>
          <w:b w:val="false"/>
          <w:b w:val="false"/>
          <w:bCs w:val="false"/>
          <w:color w:val="000000"/>
          <w:sz w:val="28"/>
          <w:szCs w:val="28"/>
          <w:lang w:val="uk-UA" w:eastAsia="en-US" w:bidi="ar-SA"/>
        </w:rPr>
      </w:pPr>
      <w:r>
        <w:rPr/>
      </w:r>
    </w:p>
    <w:p>
      <w:pPr>
        <w:pStyle w:val="2"/>
        <w:widowControl/>
        <w:overflowPunct w:val="true"/>
        <w:bidi w:val="0"/>
        <w:spacing w:lineRule="auto" w:line="360" w:before="0" w:after="0"/>
        <w:ind w:left="0" w:right="0" w:hanging="0"/>
        <w:jc w:val="both"/>
        <w:rPr>
          <w:rStyle w:val="Style14"/>
          <w:rFonts w:ascii="Times New Roman" w:hAnsi="Times New Roman" w:eastAsia="Calibri" w:cs="Times New Roman"/>
          <w:b w:val="false"/>
          <w:b w:val="false"/>
          <w:bCs w:val="false"/>
          <w:color w:val="000000"/>
          <w:sz w:val="28"/>
          <w:szCs w:val="28"/>
          <w:lang w:val="uk-UA" w:eastAsia="en-US" w:bidi="ar-SA"/>
        </w:rPr>
      </w:pPr>
      <w:r>
        <w:rPr/>
      </w:r>
    </w:p>
    <w:p>
      <w:pPr>
        <w:pStyle w:val="2"/>
        <w:widowControl/>
        <w:overflowPunct w:val="true"/>
        <w:bidi w:val="0"/>
        <w:spacing w:lineRule="auto" w:line="360" w:before="0" w:after="0"/>
        <w:ind w:left="0" w:right="0" w:hanging="0"/>
        <w:jc w:val="both"/>
        <w:rPr>
          <w:rStyle w:val="Style14"/>
          <w:rFonts w:ascii="Times New Roman" w:hAnsi="Times New Roman" w:eastAsia="Calibri" w:cs="Times New Roman"/>
          <w:b w:val="false"/>
          <w:b w:val="false"/>
          <w:bCs w:val="false"/>
          <w:color w:val="000000"/>
          <w:sz w:val="28"/>
          <w:szCs w:val="28"/>
          <w:lang w:val="uk-UA" w:eastAsia="en-US" w:bidi="ar-SA"/>
        </w:rPr>
      </w:pPr>
      <w:r>
        <w:rPr/>
      </w:r>
    </w:p>
    <w:p>
      <w:pPr>
        <w:pStyle w:val="2"/>
        <w:widowControl/>
        <w:overflowPunct w:val="true"/>
        <w:bidi w:val="0"/>
        <w:spacing w:lineRule="auto" w:line="360" w:before="0" w:after="0"/>
        <w:ind w:left="0" w:right="0" w:hanging="0"/>
        <w:jc w:val="both"/>
        <w:rPr>
          <w:rStyle w:val="Style14"/>
          <w:rFonts w:ascii="Times New Roman" w:hAnsi="Times New Roman" w:eastAsia="Calibri" w:cs="Times New Roman"/>
          <w:b w:val="false"/>
          <w:b w:val="false"/>
          <w:bCs w:val="false"/>
          <w:color w:val="000000"/>
          <w:sz w:val="28"/>
          <w:szCs w:val="28"/>
          <w:lang w:val="uk-UA" w:eastAsia="en-US" w:bidi="ar-SA"/>
        </w:rPr>
      </w:pPr>
      <w:r>
        <w:rPr/>
      </w:r>
    </w:p>
    <w:p>
      <w:pPr>
        <w:pStyle w:val="2"/>
        <w:widowControl/>
        <w:overflowPunct w:val="true"/>
        <w:bidi w:val="0"/>
        <w:spacing w:lineRule="auto" w:line="360" w:before="0" w:after="0"/>
        <w:ind w:left="0" w:right="0" w:hanging="0"/>
        <w:jc w:val="both"/>
        <w:rPr>
          <w:rStyle w:val="Style14"/>
          <w:rFonts w:ascii="Times New Roman" w:hAnsi="Times New Roman" w:eastAsia="Calibri" w:cs="Times New Roman"/>
          <w:b w:val="false"/>
          <w:b w:val="false"/>
          <w:bCs w:val="false"/>
          <w:color w:val="000000"/>
          <w:sz w:val="28"/>
          <w:szCs w:val="28"/>
          <w:lang w:val="uk-UA" w:eastAsia="en-US" w:bidi="ar-SA"/>
        </w:rPr>
      </w:pPr>
      <w:r>
        <w:rPr/>
      </w:r>
    </w:p>
    <w:p>
      <w:pPr>
        <w:pStyle w:val="2"/>
        <w:widowControl/>
        <w:overflowPunct w:val="true"/>
        <w:bidi w:val="0"/>
        <w:spacing w:lineRule="auto" w:line="360" w:before="0" w:after="0"/>
        <w:ind w:left="0" w:right="0" w:hanging="0"/>
        <w:jc w:val="both"/>
        <w:rPr>
          <w:rStyle w:val="Style14"/>
          <w:rFonts w:ascii="Times New Roman" w:hAnsi="Times New Roman" w:eastAsia="Calibri" w:cs="Times New Roman"/>
          <w:b w:val="false"/>
          <w:b w:val="false"/>
          <w:bCs w:val="false"/>
          <w:color w:val="000000"/>
          <w:sz w:val="28"/>
          <w:szCs w:val="28"/>
          <w:lang w:val="uk-UA" w:eastAsia="en-US" w:bidi="ar-SA"/>
        </w:rPr>
      </w:pPr>
      <w:r>
        <w:rPr/>
      </w:r>
    </w:p>
    <w:p>
      <w:pPr>
        <w:pStyle w:val="2"/>
        <w:widowControl/>
        <w:overflowPunct w:val="true"/>
        <w:bidi w:val="0"/>
        <w:spacing w:lineRule="auto" w:line="360" w:before="0" w:after="0"/>
        <w:ind w:left="0" w:right="0" w:hanging="0"/>
        <w:jc w:val="both"/>
        <w:rPr>
          <w:rStyle w:val="Style14"/>
          <w:rFonts w:ascii="Times New Roman" w:hAnsi="Times New Roman" w:eastAsia="Calibri" w:cs="Times New Roman"/>
          <w:b w:val="false"/>
          <w:b w:val="false"/>
          <w:bCs w:val="false"/>
          <w:color w:val="000000"/>
          <w:sz w:val="28"/>
          <w:szCs w:val="28"/>
          <w:lang w:val="uk-UA" w:eastAsia="en-US" w:bidi="ar-SA"/>
        </w:rPr>
      </w:pPr>
      <w:r>
        <w:rPr/>
      </w:r>
    </w:p>
    <w:p>
      <w:pPr>
        <w:pStyle w:val="2"/>
        <w:widowControl/>
        <w:overflowPunct w:val="true"/>
        <w:bidi w:val="0"/>
        <w:spacing w:lineRule="auto" w:line="360" w:before="0" w:after="0"/>
        <w:ind w:left="0" w:right="0" w:hanging="0"/>
        <w:jc w:val="both"/>
        <w:rPr>
          <w:rStyle w:val="Style14"/>
          <w:rFonts w:ascii="Times New Roman" w:hAnsi="Times New Roman" w:eastAsia="Calibri" w:cs="Times New Roman"/>
          <w:b w:val="false"/>
          <w:b w:val="false"/>
          <w:bCs w:val="false"/>
          <w:color w:val="000000"/>
          <w:sz w:val="28"/>
          <w:szCs w:val="28"/>
          <w:lang w:val="uk-UA" w:eastAsia="en-US" w:bidi="ar-SA"/>
        </w:rPr>
      </w:pPr>
      <w:r>
        <w:rPr/>
      </w:r>
    </w:p>
    <w:p>
      <w:pPr>
        <w:pStyle w:val="2"/>
        <w:widowControl/>
        <w:numPr>
          <w:ilvl w:val="0"/>
          <w:numId w:val="0"/>
        </w:numPr>
        <w:overflowPunct w:val="true"/>
        <w:bidi w:val="0"/>
        <w:spacing w:lineRule="auto" w:line="360" w:before="0" w:after="0"/>
        <w:ind w:left="720" w:right="0" w:hanging="0"/>
        <w:jc w:val="both"/>
        <w:rPr>
          <w:rStyle w:val="Style14"/>
          <w:rFonts w:ascii="Times New Roman" w:hAnsi="Times New Roman" w:eastAsia="Calibri" w:cs="Times New Roman"/>
          <w:b w:val="false"/>
          <w:b w:val="false"/>
          <w:bCs w:val="false"/>
          <w:color w:val="000000"/>
          <w:sz w:val="28"/>
          <w:szCs w:val="28"/>
          <w:lang w:val="uk-UA" w:eastAsia="en-US" w:bidi="ar-SA"/>
        </w:rPr>
      </w:pPr>
      <w:r>
        <w:rPr/>
      </w:r>
    </w:p>
    <w:p>
      <w:pPr>
        <w:pStyle w:val="2"/>
        <w:widowControl/>
        <w:numPr>
          <w:ilvl w:val="0"/>
          <w:numId w:val="0"/>
        </w:numPr>
        <w:overflowPunct w:val="true"/>
        <w:bidi w:val="0"/>
        <w:spacing w:lineRule="auto" w:line="360" w:before="0" w:after="0"/>
        <w:ind w:left="720" w:right="0" w:hanging="0"/>
        <w:jc w:val="center"/>
        <w:rPr/>
      </w:pPr>
      <w:r>
        <w:rPr>
          <w:rStyle w:val="Style14"/>
          <w:rFonts w:eastAsia="Calibri" w:cs="Times New Roman"/>
          <w:b/>
          <w:bCs/>
          <w:color w:val="000000"/>
          <w:sz w:val="28"/>
          <w:szCs w:val="28"/>
          <w:lang w:val="uk-UA" w:eastAsia="en-US" w:bidi="ar-SA"/>
        </w:rPr>
        <w:t>ВИСНОВКИ</w:t>
      </w:r>
    </w:p>
    <w:p>
      <w:pPr>
        <w:pStyle w:val="2"/>
        <w:widowControl/>
        <w:numPr>
          <w:ilvl w:val="0"/>
          <w:numId w:val="0"/>
        </w:numPr>
        <w:overflowPunct w:val="true"/>
        <w:bidi w:val="0"/>
        <w:spacing w:lineRule="auto" w:line="360" w:before="0" w:after="0"/>
        <w:ind w:left="720" w:right="0" w:hanging="0"/>
        <w:jc w:val="both"/>
        <w:rPr>
          <w:rStyle w:val="Style14"/>
          <w:rFonts w:ascii="Times New Roman" w:hAnsi="Times New Roman" w:eastAsia="Calibri" w:cs="Times New Roman"/>
          <w:b w:val="false"/>
          <w:b w:val="false"/>
          <w:bCs w:val="false"/>
          <w:color w:val="000000"/>
          <w:sz w:val="28"/>
          <w:szCs w:val="28"/>
          <w:lang w:val="uk-UA" w:eastAsia="en-US" w:bidi="ar-SA"/>
        </w:rPr>
      </w:pPr>
      <w:r>
        <w:rPr/>
      </w:r>
    </w:p>
    <w:p>
      <w:pPr>
        <w:pStyle w:val="Style17"/>
        <w:widowControl/>
        <w:overflowPunct w:val="true"/>
        <w:bidi w:val="0"/>
        <w:spacing w:lineRule="auto" w:line="360" w:before="0" w:after="0"/>
        <w:ind w:left="0" w:right="0" w:firstLine="680"/>
        <w:jc w:val="both"/>
        <w:rPr>
          <w:b w:val="false"/>
          <w:b w:val="false"/>
          <w:bCs w:val="false"/>
        </w:rPr>
      </w:pPr>
      <w:r>
        <w:rPr>
          <w:rFonts w:ascii="Times New Roman" w:hAnsi="Times New Roman"/>
          <w:b w:val="false"/>
          <w:bCs w:val="false"/>
          <w:sz w:val="28"/>
          <w:szCs w:val="28"/>
        </w:rPr>
        <w:t xml:space="preserve">У результаті дослідження достатньо складної і актуальної проблеми чіткого розмежування судових юрисдикцій та правильного визначення адміністративної юрисдикції науково осмислені та розроблені відповідні методологічні засади вирішення зазначеної проблеми, підготовлені практично значущі пропозиції та рекомендації, спрямовані на досягнення поставленої мети – визначення поняття та змісту адміністративного судочинства, його завдань, законодавчих засад здійснення, забезпечення прав та свобод громадян в адміністративному судочинстві, доступності, верховенства права та законності при розгляді адміністративних справ судами. </w:t>
      </w:r>
    </w:p>
    <w:p>
      <w:pPr>
        <w:pStyle w:val="Style17"/>
        <w:widowControl/>
        <w:overflowPunct w:val="true"/>
        <w:bidi w:val="0"/>
        <w:spacing w:lineRule="auto" w:line="360" w:before="0" w:after="0"/>
        <w:ind w:left="0" w:right="0" w:firstLine="680"/>
        <w:jc w:val="both"/>
        <w:rPr>
          <w:b w:val="false"/>
          <w:b w:val="false"/>
          <w:bCs w:val="false"/>
        </w:rPr>
      </w:pPr>
      <w:r>
        <w:rPr>
          <w:rFonts w:ascii="Times New Roman" w:hAnsi="Times New Roman"/>
          <w:b w:val="false"/>
          <w:bCs w:val="false"/>
          <w:sz w:val="28"/>
          <w:szCs w:val="28"/>
        </w:rPr>
        <w:t xml:space="preserve">Одним із важливих елементів ефективності адміністративного судочинства є забезпечення в процесі верховенства права та законності. Гарантії законності в адміністративному судочинстві визначаються відповідно до принципу законності, який закріплено у ст. 9 Кодексу адміністративного судочинства України. </w:t>
      </w:r>
    </w:p>
    <w:p>
      <w:pPr>
        <w:pStyle w:val="Style17"/>
        <w:widowControl/>
        <w:overflowPunct w:val="true"/>
        <w:bidi w:val="0"/>
        <w:spacing w:lineRule="auto" w:line="360" w:before="0" w:after="0"/>
        <w:ind w:left="0" w:right="0" w:firstLine="680"/>
        <w:jc w:val="both"/>
        <w:rPr>
          <w:b w:val="false"/>
          <w:b w:val="false"/>
          <w:bCs w:val="false"/>
        </w:rPr>
      </w:pPr>
      <w:r>
        <w:rPr>
          <w:rFonts w:ascii="Times New Roman" w:hAnsi="Times New Roman"/>
          <w:b w:val="false"/>
          <w:bCs w:val="false"/>
          <w:sz w:val="28"/>
          <w:szCs w:val="28"/>
        </w:rPr>
        <w:t>Доступність до правосуддя складається з багатьох елементів, що в своїй сукупності становлять важливий принцип адміністративного судочинства, а його реалізація має питому вагу серед гарантій забезпечення законності в адміністративному судочинстві. Запропоновані в роботі напрямки забезпечення доступності правосуддя з адміністративних справ можуть суттєво покращити рівень захисту прав, свобод, інтересів громадян.</w:t>
      </w:r>
    </w:p>
    <w:p>
      <w:pPr>
        <w:pStyle w:val="Style17"/>
        <w:widowControl/>
        <w:overflowPunct w:val="true"/>
        <w:bidi w:val="0"/>
        <w:spacing w:lineRule="auto" w:line="360" w:before="0" w:after="0"/>
        <w:ind w:left="0" w:right="0" w:firstLine="680"/>
        <w:jc w:val="both"/>
        <w:rPr>
          <w:b w:val="false"/>
          <w:b w:val="false"/>
          <w:bCs w:val="false"/>
        </w:rPr>
      </w:pPr>
      <w:r>
        <w:rPr>
          <w:rFonts w:ascii="Times New Roman" w:hAnsi="Times New Roman"/>
          <w:b w:val="false"/>
          <w:bCs w:val="false"/>
          <w:sz w:val="28"/>
          <w:szCs w:val="28"/>
        </w:rPr>
        <w:t>Передбачена в Україні система адміністративних судів, як здається, не є досконалою, оскільки не реалізована ідея створення адміністративних судів в округах, як територіальних одиницях, які б не збігалися з адміністративно-територіальним поділом України. Завдяки цьому адміністративні суди могли б стати більш захищеними від втручання в їх діяльність. Створення окружних адміністративних судів у межах областей також не сприяє забезпеченню доступності для населення. Така система адміністративних судів нині має об’єктивні підстави, наприклад, брак коштів, приміщень та ін. Тому систему адміністративних судів, що створюється, доцільно вважати перехідною на шляху створення дійсно незалежного та доступного адміністративного судочинства.</w:t>
      </w:r>
    </w:p>
    <w:p>
      <w:pPr>
        <w:pStyle w:val="Style17"/>
        <w:widowControl/>
        <w:overflowPunct w:val="true"/>
        <w:bidi w:val="0"/>
        <w:spacing w:lineRule="auto" w:line="360" w:before="0" w:after="0"/>
        <w:ind w:left="0" w:right="0" w:firstLine="680"/>
        <w:jc w:val="both"/>
        <w:rPr/>
      </w:pPr>
      <w:r>
        <w:rPr>
          <w:rStyle w:val="Style14"/>
          <w:rFonts w:eastAsia="Calibri" w:cs="Times New Roman" w:ascii="Times New Roman" w:hAnsi="Times New Roman"/>
          <w:b w:val="false"/>
          <w:bCs w:val="false"/>
          <w:color w:val="000000"/>
          <w:sz w:val="28"/>
          <w:szCs w:val="28"/>
          <w:lang w:val="uk-UA" w:eastAsia="en-US" w:bidi="ar-SA"/>
        </w:rPr>
        <w:t>З усього вищенаведеного зробимо висновок, що на сьогодні практика</w:t>
      </w:r>
    </w:p>
    <w:p>
      <w:pPr>
        <w:pStyle w:val="Style17"/>
        <w:widowControl/>
        <w:overflowPunct w:val="true"/>
        <w:bidi w:val="0"/>
        <w:spacing w:lineRule="auto" w:line="360" w:before="0" w:after="0"/>
        <w:ind w:left="0" w:right="0" w:firstLine="680"/>
        <w:jc w:val="both"/>
        <w:rPr>
          <w:b w:val="false"/>
          <w:b w:val="false"/>
          <w:bCs w:val="false"/>
        </w:rPr>
      </w:pPr>
      <w:r>
        <w:rPr>
          <w:rFonts w:ascii="Times New Roman" w:hAnsi="Times New Roman"/>
          <w:b w:val="false"/>
          <w:bCs w:val="false"/>
          <w:sz w:val="28"/>
          <w:szCs w:val="28"/>
        </w:rPr>
        <w:t xml:space="preserve">вироблення єдиних критеріїв для </w:t>
      </w:r>
      <w:r>
        <w:rPr>
          <w:rFonts w:ascii="Times New Roman" w:hAnsi="Times New Roman"/>
          <w:b w:val="false"/>
          <w:bCs w:val="false"/>
          <w:sz w:val="28"/>
          <w:szCs w:val="28"/>
        </w:rPr>
        <w:t>визначення адм</w:t>
      </w:r>
      <w:r>
        <w:rPr>
          <w:rFonts w:ascii="Times New Roman" w:hAnsi="Times New Roman"/>
          <w:b w:val="false"/>
          <w:bCs w:val="false"/>
          <w:sz w:val="28"/>
          <w:szCs w:val="28"/>
        </w:rPr>
        <w:t>іністративної юрисдикції потребує вдосконалення. Адже, адміністративна юрисдикція тісно межує з усіма видами юрисдикцій: господарською, конституційною, кримінальною, цивільною та юрисдикцією з розгляду публічно-правових справ про накладення адміністративних стягнень. Проте відносини у суспільстві настільки урізноманітнюються, що доктринальних критеріїв відмежування різних видів юрисдикцій – суб’єктного складу учасників спору та характеру спірних матеріальних правовідносин, інколи уже не вистачає, що змушує щоразу вдаватися до аналізу усіх можливих обставин справи, які стосуються до підвідомчості справи.</w:t>
      </w:r>
    </w:p>
    <w:p>
      <w:pPr>
        <w:pStyle w:val="3"/>
        <w:widowControl/>
        <w:overflowPunct w:val="true"/>
        <w:bidi w:val="0"/>
        <w:spacing w:lineRule="auto" w:line="360" w:before="0" w:after="0"/>
        <w:ind w:left="0" w:right="0" w:firstLine="680"/>
        <w:jc w:val="both"/>
        <w:rPr>
          <w:rStyle w:val="Style14"/>
          <w:rFonts w:ascii="Times New Roman" w:hAnsi="Times New Roman" w:eastAsia="Calibri" w:cs="Times New Roman"/>
          <w:b w:val="false"/>
          <w:b w:val="false"/>
          <w:bCs w:val="false"/>
          <w:color w:val="000000"/>
          <w:sz w:val="28"/>
          <w:szCs w:val="28"/>
          <w:lang w:val="uk-UA" w:eastAsia="en-US" w:bidi="ar-SA"/>
        </w:rPr>
      </w:pPr>
      <w:r>
        <w:rPr>
          <w:rFonts w:eastAsia="Calibri" w:cs="Times New Roman"/>
          <w:b w:val="false"/>
          <w:bCs w:val="false"/>
          <w:color w:val="000000"/>
          <w:sz w:val="28"/>
          <w:szCs w:val="28"/>
          <w:lang w:val="uk-UA" w:eastAsia="en-US" w:bidi="ar-SA"/>
        </w:rPr>
      </w:r>
    </w:p>
    <w:p>
      <w:pPr>
        <w:pStyle w:val="3"/>
        <w:widowControl/>
        <w:overflowPunct w:val="true"/>
        <w:bidi w:val="0"/>
        <w:spacing w:lineRule="auto" w:line="360" w:before="0" w:after="0"/>
        <w:ind w:left="0" w:right="0" w:firstLine="680"/>
        <w:jc w:val="both"/>
        <w:rPr>
          <w:rStyle w:val="Style14"/>
          <w:rFonts w:ascii="Times New Roman" w:hAnsi="Times New Roman" w:eastAsia="Calibri" w:cs="Times New Roman"/>
          <w:b w:val="false"/>
          <w:b w:val="false"/>
          <w:bCs w:val="false"/>
          <w:color w:val="000000"/>
          <w:sz w:val="28"/>
          <w:szCs w:val="28"/>
          <w:lang w:val="uk-UA" w:eastAsia="en-US" w:bidi="ar-SA"/>
        </w:rPr>
      </w:pPr>
      <w:r>
        <w:rPr>
          <w:rFonts w:eastAsia="Calibri" w:cs="Times New Roman"/>
          <w:b w:val="false"/>
          <w:bCs w:val="false"/>
          <w:color w:val="000000"/>
          <w:sz w:val="28"/>
          <w:szCs w:val="28"/>
          <w:lang w:val="uk-UA" w:eastAsia="en-US" w:bidi="ar-SA"/>
        </w:rPr>
      </w:r>
    </w:p>
    <w:p>
      <w:pPr>
        <w:pStyle w:val="3"/>
        <w:widowControl/>
        <w:overflowPunct w:val="true"/>
        <w:bidi w:val="0"/>
        <w:spacing w:lineRule="auto" w:line="360" w:before="0" w:after="0"/>
        <w:ind w:left="0" w:right="0" w:firstLine="680"/>
        <w:jc w:val="both"/>
        <w:rPr>
          <w:rStyle w:val="Style14"/>
          <w:rFonts w:ascii="Times New Roman" w:hAnsi="Times New Roman" w:eastAsia="Calibri" w:cs="Times New Roman"/>
          <w:b w:val="false"/>
          <w:b w:val="false"/>
          <w:bCs w:val="false"/>
          <w:color w:val="000000"/>
          <w:sz w:val="28"/>
          <w:szCs w:val="28"/>
          <w:lang w:val="uk-UA" w:eastAsia="en-US" w:bidi="ar-SA"/>
        </w:rPr>
      </w:pPr>
      <w:r>
        <w:rPr>
          <w:rFonts w:eastAsia="Calibri" w:cs="Times New Roman"/>
          <w:b w:val="false"/>
          <w:bCs w:val="false"/>
          <w:color w:val="000000"/>
          <w:sz w:val="28"/>
          <w:szCs w:val="28"/>
          <w:lang w:val="uk-UA" w:eastAsia="en-US" w:bidi="ar-SA"/>
        </w:rPr>
      </w:r>
    </w:p>
    <w:p>
      <w:pPr>
        <w:pStyle w:val="3"/>
        <w:widowControl/>
        <w:overflowPunct w:val="true"/>
        <w:bidi w:val="0"/>
        <w:spacing w:lineRule="auto" w:line="360" w:before="0" w:after="0"/>
        <w:ind w:left="0" w:right="0" w:firstLine="680"/>
        <w:jc w:val="both"/>
        <w:rPr>
          <w:rStyle w:val="Style14"/>
          <w:rFonts w:ascii="Times New Roman" w:hAnsi="Times New Roman" w:eastAsia="Calibri" w:cs="Times New Roman"/>
          <w:b w:val="false"/>
          <w:b w:val="false"/>
          <w:bCs w:val="false"/>
          <w:color w:val="000000"/>
          <w:sz w:val="28"/>
          <w:szCs w:val="28"/>
          <w:lang w:val="uk-UA" w:eastAsia="en-US" w:bidi="ar-SA"/>
        </w:rPr>
      </w:pPr>
      <w:r>
        <w:rPr>
          <w:rFonts w:eastAsia="Calibri" w:cs="Times New Roman"/>
          <w:b w:val="false"/>
          <w:bCs w:val="false"/>
          <w:color w:val="000000"/>
          <w:sz w:val="28"/>
          <w:szCs w:val="28"/>
          <w:lang w:val="uk-UA" w:eastAsia="en-US" w:bidi="ar-SA"/>
        </w:rPr>
      </w:r>
    </w:p>
    <w:p>
      <w:pPr>
        <w:pStyle w:val="3"/>
        <w:widowControl/>
        <w:overflowPunct w:val="true"/>
        <w:bidi w:val="0"/>
        <w:spacing w:lineRule="auto" w:line="360" w:before="0" w:after="0"/>
        <w:ind w:left="0" w:right="0" w:firstLine="680"/>
        <w:jc w:val="both"/>
        <w:rPr>
          <w:rStyle w:val="Style14"/>
          <w:rFonts w:ascii="Times New Roman" w:hAnsi="Times New Roman" w:eastAsia="Calibri" w:cs="Times New Roman"/>
          <w:b w:val="false"/>
          <w:b w:val="false"/>
          <w:bCs w:val="false"/>
          <w:color w:val="000000"/>
          <w:sz w:val="28"/>
          <w:szCs w:val="28"/>
          <w:lang w:val="uk-UA" w:eastAsia="en-US" w:bidi="ar-SA"/>
        </w:rPr>
      </w:pPr>
      <w:r>
        <w:rPr>
          <w:rFonts w:eastAsia="Calibri" w:cs="Times New Roman"/>
          <w:b w:val="false"/>
          <w:bCs w:val="false"/>
          <w:color w:val="000000"/>
          <w:sz w:val="28"/>
          <w:szCs w:val="28"/>
          <w:lang w:val="uk-UA" w:eastAsia="en-US" w:bidi="ar-SA"/>
        </w:rPr>
      </w:r>
    </w:p>
    <w:p>
      <w:pPr>
        <w:pStyle w:val="3"/>
        <w:widowControl/>
        <w:overflowPunct w:val="true"/>
        <w:bidi w:val="0"/>
        <w:spacing w:lineRule="auto" w:line="360" w:before="0" w:after="0"/>
        <w:ind w:left="0" w:right="0" w:firstLine="680"/>
        <w:jc w:val="both"/>
        <w:rPr>
          <w:rStyle w:val="Style14"/>
          <w:rFonts w:ascii="Times New Roman" w:hAnsi="Times New Roman" w:eastAsia="Calibri" w:cs="Times New Roman"/>
          <w:b w:val="false"/>
          <w:b w:val="false"/>
          <w:bCs w:val="false"/>
          <w:color w:val="000000"/>
          <w:sz w:val="28"/>
          <w:szCs w:val="28"/>
          <w:lang w:val="uk-UA" w:eastAsia="en-US" w:bidi="ar-SA"/>
        </w:rPr>
      </w:pPr>
      <w:r>
        <w:rPr>
          <w:rFonts w:eastAsia="Calibri" w:cs="Times New Roman"/>
          <w:b w:val="false"/>
          <w:bCs w:val="false"/>
          <w:color w:val="000000"/>
          <w:sz w:val="28"/>
          <w:szCs w:val="28"/>
          <w:lang w:val="uk-UA" w:eastAsia="en-US" w:bidi="ar-SA"/>
        </w:rPr>
      </w:r>
    </w:p>
    <w:p>
      <w:pPr>
        <w:pStyle w:val="3"/>
        <w:widowControl/>
        <w:overflowPunct w:val="true"/>
        <w:bidi w:val="0"/>
        <w:spacing w:lineRule="auto" w:line="360" w:before="0" w:after="0"/>
        <w:ind w:left="0" w:right="0" w:firstLine="680"/>
        <w:jc w:val="both"/>
        <w:rPr>
          <w:rStyle w:val="Style14"/>
          <w:rFonts w:ascii="Times New Roman" w:hAnsi="Times New Roman" w:eastAsia="Calibri" w:cs="Times New Roman"/>
          <w:b w:val="false"/>
          <w:b w:val="false"/>
          <w:bCs w:val="false"/>
          <w:color w:val="000000"/>
          <w:sz w:val="28"/>
          <w:szCs w:val="28"/>
          <w:lang w:val="uk-UA" w:eastAsia="en-US" w:bidi="ar-SA"/>
        </w:rPr>
      </w:pPr>
      <w:r>
        <w:rPr>
          <w:rFonts w:eastAsia="Calibri" w:cs="Times New Roman"/>
          <w:b w:val="false"/>
          <w:bCs w:val="false"/>
          <w:color w:val="000000"/>
          <w:sz w:val="28"/>
          <w:szCs w:val="28"/>
          <w:lang w:val="uk-UA" w:eastAsia="en-US" w:bidi="ar-SA"/>
        </w:rPr>
      </w:r>
    </w:p>
    <w:p>
      <w:pPr>
        <w:pStyle w:val="3"/>
        <w:widowControl/>
        <w:overflowPunct w:val="true"/>
        <w:bidi w:val="0"/>
        <w:spacing w:lineRule="auto" w:line="360" w:before="0" w:after="0"/>
        <w:ind w:left="0" w:right="0" w:firstLine="680"/>
        <w:jc w:val="both"/>
        <w:rPr>
          <w:rStyle w:val="Style14"/>
          <w:rFonts w:ascii="Times New Roman" w:hAnsi="Times New Roman" w:eastAsia="Calibri" w:cs="Times New Roman"/>
          <w:b w:val="false"/>
          <w:b w:val="false"/>
          <w:bCs w:val="false"/>
          <w:color w:val="000000"/>
          <w:sz w:val="28"/>
          <w:szCs w:val="28"/>
          <w:lang w:val="uk-UA" w:eastAsia="en-US" w:bidi="ar-SA"/>
        </w:rPr>
      </w:pPr>
      <w:r>
        <w:rPr>
          <w:rFonts w:eastAsia="Calibri" w:cs="Times New Roman"/>
          <w:b w:val="false"/>
          <w:bCs w:val="false"/>
          <w:color w:val="000000"/>
          <w:sz w:val="28"/>
          <w:szCs w:val="28"/>
          <w:lang w:val="uk-UA" w:eastAsia="en-US" w:bidi="ar-SA"/>
        </w:rPr>
      </w:r>
    </w:p>
    <w:p>
      <w:pPr>
        <w:pStyle w:val="3"/>
        <w:widowControl/>
        <w:overflowPunct w:val="true"/>
        <w:bidi w:val="0"/>
        <w:spacing w:lineRule="auto" w:line="360" w:before="0" w:after="0"/>
        <w:ind w:left="0" w:right="0" w:firstLine="680"/>
        <w:jc w:val="both"/>
        <w:rPr>
          <w:rStyle w:val="Style14"/>
          <w:rFonts w:ascii="Times New Roman" w:hAnsi="Times New Roman" w:eastAsia="Calibri" w:cs="Times New Roman"/>
          <w:b w:val="false"/>
          <w:b w:val="false"/>
          <w:bCs w:val="false"/>
          <w:color w:val="000000"/>
          <w:sz w:val="28"/>
          <w:szCs w:val="28"/>
          <w:lang w:val="uk-UA" w:eastAsia="en-US" w:bidi="ar-SA"/>
        </w:rPr>
      </w:pPr>
      <w:r>
        <w:rPr>
          <w:rFonts w:eastAsia="Calibri" w:cs="Times New Roman"/>
          <w:b w:val="false"/>
          <w:bCs w:val="false"/>
          <w:color w:val="000000"/>
          <w:sz w:val="28"/>
          <w:szCs w:val="28"/>
          <w:lang w:val="uk-UA" w:eastAsia="en-US" w:bidi="ar-SA"/>
        </w:rPr>
      </w:r>
    </w:p>
    <w:p>
      <w:pPr>
        <w:pStyle w:val="3"/>
        <w:widowControl/>
        <w:overflowPunct w:val="true"/>
        <w:bidi w:val="0"/>
        <w:spacing w:lineRule="auto" w:line="360" w:before="0" w:after="0"/>
        <w:ind w:left="0" w:right="0" w:firstLine="680"/>
        <w:jc w:val="both"/>
        <w:rPr>
          <w:rStyle w:val="Style14"/>
          <w:rFonts w:ascii="Times New Roman" w:hAnsi="Times New Roman" w:eastAsia="Calibri" w:cs="Times New Roman"/>
          <w:b w:val="false"/>
          <w:b w:val="false"/>
          <w:bCs w:val="false"/>
          <w:color w:val="000000"/>
          <w:sz w:val="28"/>
          <w:szCs w:val="28"/>
          <w:lang w:val="uk-UA" w:eastAsia="en-US" w:bidi="ar-SA"/>
        </w:rPr>
      </w:pPr>
      <w:r>
        <w:rPr>
          <w:rFonts w:eastAsia="Calibri" w:cs="Times New Roman"/>
          <w:b w:val="false"/>
          <w:bCs w:val="false"/>
          <w:color w:val="000000"/>
          <w:sz w:val="28"/>
          <w:szCs w:val="28"/>
          <w:lang w:val="uk-UA" w:eastAsia="en-US" w:bidi="ar-SA"/>
        </w:rPr>
      </w:r>
    </w:p>
    <w:p>
      <w:pPr>
        <w:pStyle w:val="3"/>
        <w:widowControl/>
        <w:overflowPunct w:val="true"/>
        <w:bidi w:val="0"/>
        <w:spacing w:lineRule="auto" w:line="360" w:before="0" w:after="0"/>
        <w:ind w:left="0" w:right="0" w:firstLine="680"/>
        <w:jc w:val="both"/>
        <w:rPr>
          <w:rStyle w:val="Style14"/>
          <w:rFonts w:ascii="Times New Roman" w:hAnsi="Times New Roman" w:eastAsia="Calibri" w:cs="Times New Roman"/>
          <w:b w:val="false"/>
          <w:b w:val="false"/>
          <w:bCs w:val="false"/>
          <w:color w:val="000000"/>
          <w:sz w:val="28"/>
          <w:szCs w:val="28"/>
          <w:lang w:val="uk-UA" w:eastAsia="en-US" w:bidi="ar-SA"/>
        </w:rPr>
      </w:pPr>
      <w:r>
        <w:rPr>
          <w:rFonts w:eastAsia="Calibri" w:cs="Times New Roman"/>
          <w:b w:val="false"/>
          <w:bCs w:val="false"/>
          <w:color w:val="000000"/>
          <w:sz w:val="28"/>
          <w:szCs w:val="28"/>
          <w:lang w:val="uk-UA" w:eastAsia="en-US" w:bidi="ar-SA"/>
        </w:rPr>
      </w:r>
    </w:p>
    <w:p>
      <w:pPr>
        <w:pStyle w:val="3"/>
        <w:widowControl/>
        <w:overflowPunct w:val="true"/>
        <w:bidi w:val="0"/>
        <w:spacing w:lineRule="auto" w:line="360" w:before="0" w:after="0"/>
        <w:ind w:left="0" w:right="0" w:firstLine="680"/>
        <w:jc w:val="both"/>
        <w:rPr>
          <w:rStyle w:val="Style14"/>
          <w:rFonts w:ascii="Times New Roman" w:hAnsi="Times New Roman" w:eastAsia="Calibri" w:cs="Times New Roman"/>
          <w:b w:val="false"/>
          <w:b w:val="false"/>
          <w:bCs w:val="false"/>
          <w:color w:val="000000"/>
          <w:sz w:val="28"/>
          <w:szCs w:val="28"/>
          <w:lang w:val="uk-UA" w:eastAsia="en-US" w:bidi="ar-SA"/>
        </w:rPr>
      </w:pPr>
      <w:r>
        <w:rPr>
          <w:rFonts w:eastAsia="Calibri" w:cs="Times New Roman"/>
          <w:b w:val="false"/>
          <w:bCs w:val="false"/>
          <w:color w:val="000000"/>
          <w:sz w:val="28"/>
          <w:szCs w:val="28"/>
          <w:lang w:val="uk-UA" w:eastAsia="en-US" w:bidi="ar-SA"/>
        </w:rPr>
      </w:r>
    </w:p>
    <w:p>
      <w:pPr>
        <w:pStyle w:val="3"/>
        <w:widowControl/>
        <w:overflowPunct w:val="true"/>
        <w:bidi w:val="0"/>
        <w:spacing w:lineRule="auto" w:line="360" w:before="0" w:after="0"/>
        <w:ind w:left="0" w:right="0" w:firstLine="680"/>
        <w:jc w:val="both"/>
        <w:rPr>
          <w:rStyle w:val="Style14"/>
          <w:rFonts w:ascii="Times New Roman" w:hAnsi="Times New Roman" w:eastAsia="Calibri" w:cs="Times New Roman"/>
          <w:b w:val="false"/>
          <w:b w:val="false"/>
          <w:bCs w:val="false"/>
          <w:color w:val="000000"/>
          <w:sz w:val="28"/>
          <w:szCs w:val="28"/>
          <w:lang w:val="uk-UA" w:eastAsia="en-US" w:bidi="ar-SA"/>
        </w:rPr>
      </w:pPr>
      <w:r>
        <w:rPr>
          <w:rFonts w:eastAsia="Calibri" w:cs="Times New Roman"/>
          <w:b w:val="false"/>
          <w:bCs w:val="false"/>
          <w:color w:val="000000"/>
          <w:sz w:val="28"/>
          <w:szCs w:val="28"/>
          <w:lang w:val="uk-UA" w:eastAsia="en-US" w:bidi="ar-SA"/>
        </w:rPr>
      </w:r>
    </w:p>
    <w:p>
      <w:pPr>
        <w:pStyle w:val="3"/>
        <w:widowControl/>
        <w:overflowPunct w:val="true"/>
        <w:bidi w:val="0"/>
        <w:spacing w:lineRule="auto" w:line="360" w:before="0" w:after="0"/>
        <w:ind w:left="0" w:right="0" w:firstLine="680"/>
        <w:jc w:val="both"/>
        <w:rPr>
          <w:rStyle w:val="Style14"/>
          <w:rFonts w:ascii="Times New Roman" w:hAnsi="Times New Roman" w:eastAsia="Calibri" w:cs="Times New Roman"/>
          <w:b w:val="false"/>
          <w:b w:val="false"/>
          <w:bCs w:val="false"/>
          <w:color w:val="000000"/>
          <w:sz w:val="28"/>
          <w:szCs w:val="28"/>
          <w:lang w:val="uk-UA" w:eastAsia="en-US" w:bidi="ar-SA"/>
        </w:rPr>
      </w:pPr>
      <w:r>
        <w:rPr>
          <w:rFonts w:eastAsia="Calibri" w:cs="Times New Roman"/>
          <w:b w:val="false"/>
          <w:bCs w:val="false"/>
          <w:color w:val="000000"/>
          <w:sz w:val="28"/>
          <w:szCs w:val="28"/>
          <w:lang w:val="uk-UA" w:eastAsia="en-US" w:bidi="ar-SA"/>
        </w:rPr>
      </w:r>
    </w:p>
    <w:p>
      <w:pPr>
        <w:pStyle w:val="Style17"/>
        <w:widowControl/>
        <w:overflowPunct w:val="true"/>
        <w:bidi w:val="0"/>
        <w:spacing w:lineRule="auto" w:line="360" w:before="0" w:after="0"/>
        <w:ind w:left="0" w:right="0" w:hanging="0"/>
        <w:jc w:val="center"/>
        <w:rPr>
          <w:b/>
          <w:b/>
          <w:bCs/>
          <w:color w:val="000000"/>
        </w:rPr>
      </w:pPr>
      <w:r>
        <w:rPr>
          <w:rFonts w:eastAsia="Calibri" w:cs="Times New Roman" w:ascii="Times New Roman" w:hAnsi="Times New Roman"/>
          <w:b/>
          <w:bCs/>
          <w:color w:val="000000"/>
          <w:sz w:val="28"/>
          <w:szCs w:val="28"/>
          <w:lang w:val="uk-UA" w:eastAsia="en-US" w:bidi="ar-SA"/>
        </w:rPr>
        <w:t>С</w:t>
      </w:r>
      <w:r>
        <w:rPr>
          <w:rFonts w:eastAsia="Calibri" w:cs="Times New Roman" w:ascii="Times New Roman" w:hAnsi="Times New Roman"/>
          <w:b/>
          <w:bCs/>
          <w:color w:val="000000"/>
          <w:sz w:val="28"/>
          <w:szCs w:val="28"/>
          <w:lang w:val="uk-UA" w:eastAsia="en-US" w:bidi="ar-SA"/>
        </w:rPr>
        <w:t>ПИСОК ВИКОРИСТАНИХ ДЖЕРЕЛ:</w:t>
      </w:r>
    </w:p>
    <w:p>
      <w:pPr>
        <w:pStyle w:val="Style17"/>
        <w:widowControl/>
        <w:overflowPunct w:val="true"/>
        <w:bidi w:val="0"/>
        <w:spacing w:lineRule="auto" w:line="360" w:before="0" w:after="0"/>
        <w:ind w:left="0" w:right="0" w:firstLine="680"/>
        <w:jc w:val="both"/>
        <w:rPr>
          <w:rFonts w:ascii="Times New Roman" w:hAnsi="Times New Roman"/>
          <w:sz w:val="28"/>
          <w:szCs w:val="28"/>
        </w:rPr>
      </w:pPr>
      <w:r>
        <w:rPr/>
      </w:r>
    </w:p>
    <w:p>
      <w:pPr>
        <w:pStyle w:val="Style17"/>
        <w:widowControl/>
        <w:numPr>
          <w:ilvl w:val="0"/>
          <w:numId w:val="2"/>
        </w:numPr>
        <w:tabs>
          <w:tab w:val="left" w:pos="570" w:leader="none"/>
        </w:tabs>
        <w:overflowPunct w:val="true"/>
        <w:bidi w:val="0"/>
        <w:spacing w:lineRule="auto" w:line="360" w:before="0" w:after="0"/>
        <w:ind w:left="0" w:right="0" w:hanging="0"/>
        <w:jc w:val="both"/>
        <w:rPr>
          <w:b w:val="false"/>
          <w:b w:val="false"/>
          <w:bCs w:val="false"/>
          <w:color w:val="000000"/>
          <w:sz w:val="28"/>
          <w:szCs w:val="28"/>
        </w:rPr>
      </w:pPr>
      <w:r>
        <w:rPr>
          <w:rFonts w:eastAsia="Calibri" w:cs="Times New Roman" w:ascii="Times New Roman" w:hAnsi="Times New Roman"/>
          <w:b w:val="false"/>
          <w:bCs w:val="false"/>
          <w:color w:val="000000"/>
          <w:sz w:val="28"/>
          <w:szCs w:val="28"/>
          <w:lang w:val="uk-UA" w:eastAsia="en-US" w:bidi="ar-SA"/>
        </w:rPr>
        <w:t>Конституція України від 28 червня 1996 року</w:t>
      </w:r>
    </w:p>
    <w:p>
      <w:pPr>
        <w:pStyle w:val="Style17"/>
        <w:widowControl/>
        <w:numPr>
          <w:ilvl w:val="0"/>
          <w:numId w:val="2"/>
        </w:numPr>
        <w:tabs>
          <w:tab w:val="left" w:pos="570" w:leader="none"/>
        </w:tabs>
        <w:overflowPunct w:val="true"/>
        <w:bidi w:val="0"/>
        <w:spacing w:lineRule="auto" w:line="360" w:before="0" w:after="0"/>
        <w:ind w:left="0" w:right="0" w:hanging="0"/>
        <w:jc w:val="both"/>
        <w:rPr>
          <w:b w:val="false"/>
          <w:b w:val="false"/>
          <w:bCs w:val="false"/>
          <w:color w:val="000000"/>
          <w:sz w:val="28"/>
          <w:szCs w:val="28"/>
        </w:rPr>
      </w:pPr>
      <w:r>
        <w:rPr>
          <w:rFonts w:eastAsia="Calibri" w:cs="Times New Roman" w:ascii="Times New Roman" w:hAnsi="Times New Roman"/>
          <w:b w:val="false"/>
          <w:bCs w:val="false"/>
          <w:color w:val="000000"/>
          <w:sz w:val="28"/>
          <w:szCs w:val="28"/>
          <w:lang w:val="uk-UA" w:eastAsia="en-US" w:bidi="ar-SA"/>
        </w:rPr>
        <w:t xml:space="preserve">Кодекс адміністративного судочинства України від 6 липня 2005 року </w:t>
      </w:r>
    </w:p>
    <w:p>
      <w:pPr>
        <w:pStyle w:val="Style17"/>
        <w:widowControl/>
        <w:numPr>
          <w:ilvl w:val="0"/>
          <w:numId w:val="2"/>
        </w:numPr>
        <w:tabs>
          <w:tab w:val="left" w:pos="570" w:leader="none"/>
        </w:tabs>
        <w:overflowPunct w:val="true"/>
        <w:bidi w:val="0"/>
        <w:spacing w:lineRule="auto" w:line="360" w:before="0" w:after="0"/>
        <w:ind w:left="0" w:right="0" w:hanging="0"/>
        <w:jc w:val="both"/>
        <w:rPr>
          <w:b w:val="false"/>
          <w:b w:val="false"/>
          <w:bCs w:val="false"/>
          <w:color w:val="000000"/>
          <w:sz w:val="28"/>
          <w:szCs w:val="28"/>
        </w:rPr>
      </w:pPr>
      <w:r>
        <w:rPr>
          <w:rFonts w:eastAsia="Calibri" w:cs="Times New Roman" w:ascii="Times New Roman" w:hAnsi="Times New Roman"/>
          <w:b w:val="false"/>
          <w:bCs w:val="false"/>
          <w:color w:val="000000"/>
          <w:sz w:val="28"/>
          <w:szCs w:val="28"/>
          <w:lang w:val="uk-UA" w:eastAsia="en-US" w:bidi="ar-SA"/>
        </w:rPr>
        <w:t xml:space="preserve">Кріминально-процесуальний Кодекс України </w:t>
      </w:r>
      <w:r>
        <w:rPr>
          <w:rFonts w:eastAsia="Calibri" w:cs="Times New Roman" w:ascii="Times New Roman" w:hAnsi="Times New Roman"/>
          <w:b w:val="false"/>
          <w:bCs w:val="false"/>
          <w:color w:val="000000"/>
          <w:sz w:val="28"/>
          <w:szCs w:val="28"/>
          <w:lang w:val="uk-UA" w:eastAsia="en-US" w:bidi="ar-SA"/>
        </w:rPr>
        <w:t>від 13 квітня 2012 року</w:t>
      </w:r>
    </w:p>
    <w:p>
      <w:pPr>
        <w:pStyle w:val="Style17"/>
        <w:widowControl/>
        <w:numPr>
          <w:ilvl w:val="0"/>
          <w:numId w:val="2"/>
        </w:numPr>
        <w:tabs>
          <w:tab w:val="left" w:pos="570" w:leader="none"/>
        </w:tabs>
        <w:overflowPunct w:val="true"/>
        <w:bidi w:val="0"/>
        <w:spacing w:lineRule="auto" w:line="360" w:before="0" w:after="0"/>
        <w:ind w:left="0" w:right="0" w:hanging="0"/>
        <w:jc w:val="both"/>
        <w:rPr>
          <w:b w:val="false"/>
          <w:b w:val="false"/>
          <w:bCs w:val="false"/>
          <w:color w:val="000000"/>
          <w:sz w:val="28"/>
          <w:szCs w:val="28"/>
        </w:rPr>
      </w:pPr>
      <w:r>
        <w:rPr>
          <w:rFonts w:eastAsia="Calibri" w:cs="Times New Roman" w:ascii="Times New Roman" w:hAnsi="Times New Roman"/>
          <w:b w:val="false"/>
          <w:bCs w:val="false"/>
          <w:color w:val="000000"/>
          <w:sz w:val="28"/>
          <w:szCs w:val="28"/>
          <w:lang w:val="uk-UA" w:eastAsia="en-US" w:bidi="ar-SA"/>
        </w:rPr>
        <w:t xml:space="preserve">Господарський процесуальний кодекс України від 6 листопада 1991 року </w:t>
      </w:r>
    </w:p>
    <w:p>
      <w:pPr>
        <w:pStyle w:val="Style17"/>
        <w:widowControl/>
        <w:numPr>
          <w:ilvl w:val="0"/>
          <w:numId w:val="2"/>
        </w:numPr>
        <w:tabs>
          <w:tab w:val="left" w:pos="570" w:leader="none"/>
        </w:tabs>
        <w:overflowPunct w:val="true"/>
        <w:bidi w:val="0"/>
        <w:spacing w:lineRule="auto" w:line="360" w:before="0" w:after="0"/>
        <w:ind w:left="0" w:right="0" w:hanging="0"/>
        <w:jc w:val="both"/>
        <w:rPr>
          <w:b w:val="false"/>
          <w:b w:val="false"/>
          <w:bCs w:val="false"/>
          <w:color w:val="000000"/>
          <w:sz w:val="28"/>
          <w:szCs w:val="28"/>
        </w:rPr>
      </w:pPr>
      <w:r>
        <w:rPr>
          <w:rFonts w:eastAsia="Calibri" w:cs="Times New Roman" w:ascii="Times New Roman" w:hAnsi="Times New Roman"/>
          <w:b w:val="false"/>
          <w:bCs w:val="false"/>
          <w:color w:val="000000"/>
          <w:sz w:val="28"/>
          <w:szCs w:val="28"/>
          <w:lang w:val="uk-UA" w:eastAsia="en-US" w:bidi="ar-SA"/>
        </w:rPr>
        <w:t>Цивільний кодекс України від 16 січня 2003 року</w:t>
      </w:r>
    </w:p>
    <w:p>
      <w:pPr>
        <w:pStyle w:val="Style17"/>
        <w:widowControl/>
        <w:numPr>
          <w:ilvl w:val="0"/>
          <w:numId w:val="2"/>
        </w:numPr>
        <w:tabs>
          <w:tab w:val="left" w:pos="570" w:leader="none"/>
        </w:tabs>
        <w:overflowPunct w:val="true"/>
        <w:bidi w:val="0"/>
        <w:spacing w:lineRule="auto" w:line="360" w:before="0" w:after="0"/>
        <w:ind w:left="0" w:right="0" w:hanging="0"/>
        <w:jc w:val="both"/>
        <w:rPr>
          <w:b w:val="false"/>
          <w:b w:val="false"/>
          <w:bCs w:val="false"/>
          <w:color w:val="000000"/>
          <w:sz w:val="28"/>
          <w:szCs w:val="28"/>
        </w:rPr>
      </w:pPr>
      <w:r>
        <w:rPr>
          <w:rFonts w:eastAsia="Calibri" w:cs="Times New Roman" w:ascii="Times New Roman" w:hAnsi="Times New Roman"/>
          <w:b w:val="false"/>
          <w:bCs w:val="false"/>
          <w:color w:val="000000"/>
          <w:sz w:val="28"/>
          <w:szCs w:val="28"/>
          <w:lang w:val="uk-UA" w:eastAsia="en-US" w:bidi="ar-SA"/>
        </w:rPr>
        <w:t>Цивільний процесуальний кодекс України від 18 березня 2004 року</w:t>
      </w:r>
    </w:p>
    <w:p>
      <w:pPr>
        <w:pStyle w:val="Style17"/>
        <w:widowControl/>
        <w:numPr>
          <w:ilvl w:val="0"/>
          <w:numId w:val="2"/>
        </w:numPr>
        <w:tabs>
          <w:tab w:val="left" w:pos="570" w:leader="none"/>
        </w:tabs>
        <w:overflowPunct w:val="true"/>
        <w:bidi w:val="0"/>
        <w:spacing w:lineRule="auto" w:line="360" w:before="0" w:after="0"/>
        <w:ind w:left="0" w:right="0" w:hanging="0"/>
        <w:jc w:val="both"/>
        <w:rPr>
          <w:color w:val="000000"/>
        </w:rPr>
      </w:pPr>
      <w:r>
        <w:rPr>
          <w:rStyle w:val="Style14"/>
          <w:rFonts w:eastAsia="Calibri" w:cs="Times New Roman" w:ascii="Times New Roman" w:hAnsi="Times New Roman"/>
          <w:b w:val="false"/>
          <w:bCs w:val="false"/>
          <w:color w:val="000000"/>
          <w:sz w:val="28"/>
          <w:szCs w:val="28"/>
          <w:lang w:val="uk-UA" w:eastAsia="en-US" w:bidi="ar-SA"/>
        </w:rPr>
        <w:t xml:space="preserve">Закону України «Про судоустрій і статус суддів» від 07.07.2010 p.                    № 2453-VI </w:t>
      </w:r>
    </w:p>
    <w:p>
      <w:pPr>
        <w:pStyle w:val="Style17"/>
        <w:widowControl/>
        <w:numPr>
          <w:ilvl w:val="0"/>
          <w:numId w:val="2"/>
        </w:numPr>
        <w:tabs>
          <w:tab w:val="left" w:pos="570" w:leader="none"/>
        </w:tabs>
        <w:overflowPunct w:val="true"/>
        <w:bidi w:val="0"/>
        <w:spacing w:lineRule="auto" w:line="360" w:before="0" w:after="0"/>
        <w:ind w:left="0" w:right="0" w:hanging="0"/>
        <w:jc w:val="both"/>
        <w:rPr>
          <w:b w:val="false"/>
          <w:b w:val="false"/>
          <w:bCs w:val="false"/>
          <w:color w:val="000000"/>
          <w:sz w:val="28"/>
          <w:szCs w:val="28"/>
        </w:rPr>
      </w:pPr>
      <w:r>
        <w:rPr>
          <w:rFonts w:ascii="Times New Roman" w:hAnsi="Times New Roman"/>
          <w:b w:val="false"/>
          <w:bCs w:val="false"/>
          <w:color w:val="000000"/>
          <w:sz w:val="28"/>
          <w:szCs w:val="28"/>
        </w:rPr>
        <w:t xml:space="preserve">Постанова Президії Верховного Суду України та Президії Ради суддів України «Про стан здійснення судочинства адміністративними судами» : від 3.04.2009 р., № 7 </w:t>
      </w:r>
    </w:p>
    <w:p>
      <w:pPr>
        <w:pStyle w:val="Style17"/>
        <w:widowControl/>
        <w:numPr>
          <w:ilvl w:val="0"/>
          <w:numId w:val="2"/>
        </w:numPr>
        <w:tabs>
          <w:tab w:val="left" w:pos="570" w:leader="none"/>
        </w:tabs>
        <w:overflowPunct w:val="true"/>
        <w:bidi w:val="0"/>
        <w:spacing w:lineRule="auto" w:line="360" w:before="0" w:after="0"/>
        <w:ind w:left="0" w:right="0" w:hanging="0"/>
        <w:jc w:val="both"/>
        <w:rPr>
          <w:b w:val="false"/>
          <w:b w:val="false"/>
          <w:bCs w:val="false"/>
          <w:color w:val="000000"/>
          <w:sz w:val="28"/>
          <w:szCs w:val="28"/>
        </w:rPr>
      </w:pPr>
      <w:r>
        <w:rPr>
          <w:rFonts w:ascii="Times New Roman" w:hAnsi="Times New Roman"/>
          <w:b w:val="false"/>
          <w:bCs w:val="false"/>
          <w:color w:val="000000"/>
          <w:sz w:val="28"/>
          <w:szCs w:val="28"/>
        </w:rPr>
        <w:t>Авер’янов В. Провідна понятійна новела Кодексу адміністративного судочинства України: доктринальний аналіз / В. Авер’янов // Вісник Вищого адміністративного суду України. - 2010. - № 2.</w:t>
      </w:r>
    </w:p>
    <w:p>
      <w:pPr>
        <w:pStyle w:val="Style17"/>
        <w:widowControl/>
        <w:numPr>
          <w:ilvl w:val="0"/>
          <w:numId w:val="2"/>
        </w:numPr>
        <w:tabs>
          <w:tab w:val="left" w:pos="570" w:leader="none"/>
        </w:tabs>
        <w:overflowPunct w:val="true"/>
        <w:bidi w:val="0"/>
        <w:spacing w:lineRule="auto" w:line="360" w:before="0" w:after="0"/>
        <w:ind w:left="0" w:right="0" w:hanging="0"/>
        <w:jc w:val="both"/>
        <w:rPr>
          <w:b w:val="false"/>
          <w:b w:val="false"/>
          <w:bCs w:val="false"/>
          <w:color w:val="000000"/>
          <w:sz w:val="28"/>
          <w:szCs w:val="28"/>
        </w:rPr>
      </w:pPr>
      <w:r>
        <w:rPr>
          <w:rFonts w:ascii="Times New Roman" w:hAnsi="Times New Roman"/>
          <w:b w:val="false"/>
          <w:bCs w:val="false"/>
          <w:color w:val="000000"/>
          <w:sz w:val="28"/>
          <w:szCs w:val="28"/>
        </w:rPr>
        <w:t>Авер’янов В.Б. Реформування українського адміністративного права: черговий етап // Право України. – 2000. – №7. – С. 6-8.</w:t>
      </w:r>
    </w:p>
    <w:p>
      <w:pPr>
        <w:pStyle w:val="Style17"/>
        <w:widowControl/>
        <w:numPr>
          <w:ilvl w:val="0"/>
          <w:numId w:val="2"/>
        </w:numPr>
        <w:tabs>
          <w:tab w:val="left" w:pos="570" w:leader="none"/>
        </w:tabs>
        <w:overflowPunct w:val="true"/>
        <w:bidi w:val="0"/>
        <w:spacing w:lineRule="auto" w:line="360" w:before="0" w:after="0"/>
        <w:ind w:left="0" w:right="0" w:hanging="0"/>
        <w:jc w:val="both"/>
        <w:rPr>
          <w:b w:val="false"/>
          <w:b w:val="false"/>
          <w:bCs w:val="false"/>
          <w:color w:val="000000"/>
          <w:sz w:val="28"/>
          <w:szCs w:val="28"/>
        </w:rPr>
      </w:pPr>
      <w:r>
        <w:rPr>
          <w:rFonts w:ascii="Times New Roman" w:hAnsi="Times New Roman"/>
          <w:b w:val="false"/>
          <w:bCs w:val="false"/>
          <w:color w:val="000000"/>
          <w:sz w:val="28"/>
          <w:szCs w:val="28"/>
        </w:rPr>
        <w:t>Аллан Т.Р.С. Конституційна справедливість. Ліберальна теорія верховенства права / пер. з англ. Р. Семківа. – К.: Вид.дім «Києво-Могилянська академія», 2008. – 385 с.</w:t>
      </w:r>
    </w:p>
    <w:p>
      <w:pPr>
        <w:pStyle w:val="Style17"/>
        <w:widowControl/>
        <w:numPr>
          <w:ilvl w:val="0"/>
          <w:numId w:val="2"/>
        </w:numPr>
        <w:tabs>
          <w:tab w:val="left" w:pos="570" w:leader="none"/>
        </w:tabs>
        <w:overflowPunct w:val="true"/>
        <w:bidi w:val="0"/>
        <w:spacing w:lineRule="auto" w:line="360" w:before="0" w:after="0"/>
        <w:ind w:left="0" w:right="0" w:hanging="0"/>
        <w:jc w:val="both"/>
        <w:rPr>
          <w:b w:val="false"/>
          <w:b w:val="false"/>
          <w:bCs w:val="false"/>
          <w:color w:val="000000"/>
          <w:sz w:val="28"/>
          <w:szCs w:val="28"/>
        </w:rPr>
      </w:pPr>
      <w:r>
        <w:rPr>
          <w:rFonts w:ascii="Times New Roman" w:hAnsi="Times New Roman"/>
          <w:b w:val="false"/>
          <w:bCs w:val="false"/>
          <w:color w:val="000000"/>
          <w:sz w:val="28"/>
          <w:szCs w:val="28"/>
        </w:rPr>
        <w:t>Альберт Дайсі. Вступ до вчення про право Конституції / Дайсі Альберт // Антологія лібералізму: політико-правові вчення та верховенство права. – К.: Книги для бізнесу, 2008. – С. 510-529.</w:t>
      </w:r>
    </w:p>
    <w:p>
      <w:pPr>
        <w:pStyle w:val="Style17"/>
        <w:widowControl/>
        <w:numPr>
          <w:ilvl w:val="0"/>
          <w:numId w:val="2"/>
        </w:numPr>
        <w:tabs>
          <w:tab w:val="left" w:pos="570" w:leader="none"/>
        </w:tabs>
        <w:overflowPunct w:val="true"/>
        <w:bidi w:val="0"/>
        <w:spacing w:lineRule="auto" w:line="360" w:before="0" w:after="0"/>
        <w:ind w:left="0" w:right="0" w:hanging="0"/>
        <w:jc w:val="both"/>
        <w:rPr>
          <w:b w:val="false"/>
          <w:b w:val="false"/>
          <w:bCs w:val="false"/>
          <w:color w:val="000000"/>
          <w:sz w:val="28"/>
          <w:szCs w:val="28"/>
        </w:rPr>
      </w:pPr>
      <w:r>
        <w:rPr>
          <w:rFonts w:ascii="Times New Roman" w:hAnsi="Times New Roman"/>
          <w:b w:val="false"/>
          <w:bCs w:val="false"/>
          <w:color w:val="000000"/>
          <w:sz w:val="28"/>
          <w:szCs w:val="28"/>
        </w:rPr>
        <w:t>Андрійчук О. Роль загальних правових принципів у процесі застосування європейського права / О. Андрійчук // Юрид. журнал. – 2007. – № 3. – С. 45-48.</w:t>
      </w:r>
    </w:p>
    <w:p>
      <w:pPr>
        <w:pStyle w:val="Style17"/>
        <w:widowControl/>
        <w:numPr>
          <w:ilvl w:val="0"/>
          <w:numId w:val="2"/>
        </w:numPr>
        <w:tabs>
          <w:tab w:val="left" w:pos="570" w:leader="none"/>
        </w:tabs>
        <w:overflowPunct w:val="true"/>
        <w:bidi w:val="0"/>
        <w:spacing w:lineRule="auto" w:line="360" w:before="0" w:after="0"/>
        <w:ind w:left="0" w:right="0" w:hanging="0"/>
        <w:jc w:val="both"/>
        <w:rPr>
          <w:b w:val="false"/>
          <w:b w:val="false"/>
          <w:bCs w:val="false"/>
          <w:color w:val="000000"/>
          <w:sz w:val="28"/>
          <w:szCs w:val="28"/>
        </w:rPr>
      </w:pPr>
      <w:r>
        <w:rPr>
          <w:rFonts w:ascii="Times New Roman" w:hAnsi="Times New Roman"/>
          <w:b w:val="false"/>
          <w:bCs w:val="false"/>
          <w:color w:val="000000"/>
          <w:sz w:val="28"/>
          <w:szCs w:val="28"/>
        </w:rPr>
        <w:t>Беляневич В. Є. Господарський процесуальний кодекс України: Наук. -практ. коментар. – К.: Юстиніан, 2006. – С. 95–120.</w:t>
      </w:r>
    </w:p>
    <w:p>
      <w:pPr>
        <w:pStyle w:val="Style17"/>
        <w:widowControl/>
        <w:numPr>
          <w:ilvl w:val="0"/>
          <w:numId w:val="2"/>
        </w:numPr>
        <w:tabs>
          <w:tab w:val="left" w:pos="570" w:leader="none"/>
        </w:tabs>
        <w:overflowPunct w:val="true"/>
        <w:bidi w:val="0"/>
        <w:spacing w:lineRule="auto" w:line="360" w:before="0" w:after="0"/>
        <w:ind w:left="0" w:right="0" w:hanging="0"/>
        <w:jc w:val="both"/>
        <w:rPr>
          <w:b w:val="false"/>
          <w:b w:val="false"/>
          <w:bCs w:val="false"/>
          <w:color w:val="000000"/>
          <w:sz w:val="28"/>
          <w:szCs w:val="28"/>
        </w:rPr>
      </w:pPr>
      <w:r>
        <w:rPr>
          <w:rFonts w:ascii="Times New Roman" w:hAnsi="Times New Roman"/>
          <w:b w:val="false"/>
          <w:bCs w:val="false"/>
          <w:color w:val="000000"/>
          <w:sz w:val="28"/>
          <w:szCs w:val="28"/>
        </w:rPr>
        <w:t>Битяк Ю.П., Богуцький В.В. та ін.: Адміністративне право України: Підручник / За ред. Ю.П. Битяка. — Харків: Право, 2001. — 528 с.</w:t>
      </w:r>
    </w:p>
    <w:p>
      <w:pPr>
        <w:pStyle w:val="Style17"/>
        <w:widowControl/>
        <w:numPr>
          <w:ilvl w:val="0"/>
          <w:numId w:val="2"/>
        </w:numPr>
        <w:tabs>
          <w:tab w:val="left" w:pos="570" w:leader="none"/>
        </w:tabs>
        <w:overflowPunct w:val="true"/>
        <w:bidi w:val="0"/>
        <w:spacing w:lineRule="auto" w:line="360" w:before="0" w:after="0"/>
        <w:ind w:left="0" w:right="0" w:hanging="0"/>
        <w:jc w:val="both"/>
        <w:rPr>
          <w:b w:val="false"/>
          <w:b w:val="false"/>
          <w:bCs w:val="false"/>
          <w:color w:val="000000"/>
          <w:sz w:val="28"/>
          <w:szCs w:val="28"/>
        </w:rPr>
      </w:pPr>
      <w:r>
        <w:rPr>
          <w:rFonts w:ascii="Times New Roman" w:hAnsi="Times New Roman"/>
          <w:b w:val="false"/>
          <w:bCs w:val="false"/>
          <w:color w:val="000000"/>
          <w:sz w:val="28"/>
          <w:szCs w:val="28"/>
        </w:rPr>
        <w:t>Бойко В. Стан здiйснення в Україні правосуддя в 1998 р. та завдання по удосконаленню органiзацiї роботи судiв // Право України. – 1999. – № 3. – С. 3-8.</w:t>
      </w:r>
    </w:p>
    <w:p>
      <w:pPr>
        <w:pStyle w:val="Style17"/>
        <w:widowControl/>
        <w:numPr>
          <w:ilvl w:val="0"/>
          <w:numId w:val="2"/>
        </w:numPr>
        <w:tabs>
          <w:tab w:val="left" w:pos="570" w:leader="none"/>
        </w:tabs>
        <w:overflowPunct w:val="true"/>
        <w:bidi w:val="0"/>
        <w:spacing w:lineRule="auto" w:line="360" w:before="0" w:after="0"/>
        <w:ind w:left="0" w:right="0" w:hanging="0"/>
        <w:jc w:val="both"/>
        <w:rPr>
          <w:b w:val="false"/>
          <w:b w:val="false"/>
          <w:bCs w:val="false"/>
          <w:color w:val="000000"/>
          <w:sz w:val="28"/>
          <w:szCs w:val="28"/>
        </w:rPr>
      </w:pPr>
      <w:r>
        <w:rPr>
          <w:rFonts w:ascii="Times New Roman" w:hAnsi="Times New Roman"/>
          <w:b w:val="false"/>
          <w:bCs w:val="false"/>
          <w:color w:val="000000"/>
          <w:sz w:val="28"/>
          <w:szCs w:val="28"/>
        </w:rPr>
        <w:t>Вєдєрніков Ю.А., Шкарупа В.Л.: Адміністративне право України: Навчальний посібник.— К.: Центр навчальної літератури, 2005. — 336 с.</w:t>
      </w:r>
    </w:p>
    <w:p>
      <w:pPr>
        <w:pStyle w:val="Style17"/>
        <w:widowControl/>
        <w:numPr>
          <w:ilvl w:val="0"/>
          <w:numId w:val="2"/>
        </w:numPr>
        <w:tabs>
          <w:tab w:val="left" w:pos="570" w:leader="none"/>
        </w:tabs>
        <w:overflowPunct w:val="true"/>
        <w:bidi w:val="0"/>
        <w:spacing w:lineRule="auto" w:line="360" w:before="0" w:after="0"/>
        <w:ind w:left="0" w:right="0" w:hanging="0"/>
        <w:jc w:val="both"/>
        <w:rPr>
          <w:b w:val="false"/>
          <w:b w:val="false"/>
          <w:bCs w:val="false"/>
          <w:color w:val="000000"/>
          <w:sz w:val="28"/>
          <w:szCs w:val="28"/>
        </w:rPr>
      </w:pPr>
      <w:r>
        <w:rPr>
          <w:rFonts w:ascii="Times New Roman" w:hAnsi="Times New Roman"/>
          <w:b w:val="false"/>
          <w:bCs w:val="false"/>
          <w:color w:val="000000"/>
          <w:sz w:val="28"/>
          <w:szCs w:val="28"/>
        </w:rPr>
        <w:t>Віхров О. П. Організаційно - господарські правовідносини : монографія /О. П. Віхров. - К. : Видавничий дім «Слово», 2008.-512 с.</w:t>
      </w:r>
    </w:p>
    <w:p>
      <w:pPr>
        <w:pStyle w:val="Style17"/>
        <w:widowControl/>
        <w:numPr>
          <w:ilvl w:val="0"/>
          <w:numId w:val="2"/>
        </w:numPr>
        <w:tabs>
          <w:tab w:val="left" w:pos="570" w:leader="none"/>
        </w:tabs>
        <w:overflowPunct w:val="true"/>
        <w:bidi w:val="0"/>
        <w:spacing w:lineRule="auto" w:line="360" w:before="0" w:after="0"/>
        <w:ind w:left="0" w:right="0" w:hanging="0"/>
        <w:jc w:val="both"/>
        <w:rPr>
          <w:b w:val="false"/>
          <w:b w:val="false"/>
          <w:bCs w:val="false"/>
          <w:color w:val="000000"/>
          <w:sz w:val="28"/>
          <w:szCs w:val="28"/>
        </w:rPr>
      </w:pPr>
      <w:r>
        <w:rPr>
          <w:rFonts w:ascii="Times New Roman" w:hAnsi="Times New Roman"/>
          <w:b w:val="false"/>
          <w:bCs w:val="false"/>
          <w:color w:val="000000"/>
          <w:sz w:val="28"/>
          <w:szCs w:val="28"/>
        </w:rPr>
        <w:t>Герасименко Є. С. До питання про адмiнiстративну юрисдикцiю в Україні // Наук. вiсн. Чернiв. ун-ту. – 2000. – Вип. 15: Правознавство. – С. 74-77.</w:t>
      </w:r>
    </w:p>
    <w:p>
      <w:pPr>
        <w:pStyle w:val="Style17"/>
        <w:widowControl/>
        <w:numPr>
          <w:ilvl w:val="0"/>
          <w:numId w:val="2"/>
        </w:numPr>
        <w:tabs>
          <w:tab w:val="left" w:pos="570" w:leader="none"/>
        </w:tabs>
        <w:overflowPunct w:val="true"/>
        <w:bidi w:val="0"/>
        <w:spacing w:lineRule="auto" w:line="360" w:before="0" w:after="0"/>
        <w:ind w:left="0" w:right="0" w:hanging="0"/>
        <w:jc w:val="both"/>
        <w:rPr>
          <w:b w:val="false"/>
          <w:b w:val="false"/>
          <w:bCs w:val="false"/>
          <w:color w:val="000000"/>
          <w:sz w:val="28"/>
          <w:szCs w:val="28"/>
        </w:rPr>
      </w:pPr>
      <w:r>
        <w:rPr>
          <w:rFonts w:ascii="Times New Roman" w:hAnsi="Times New Roman"/>
          <w:b w:val="false"/>
          <w:bCs w:val="false"/>
          <w:color w:val="000000"/>
          <w:sz w:val="28"/>
          <w:szCs w:val="28"/>
        </w:rPr>
        <w:t>Голосніченко І.П., Стахурський М.Ф. Адміністративний процес: Навч. посіб. / За заг. ред. Голосніченка І.П. — К.: ГАН, 2003. — 256 с.</w:t>
      </w:r>
    </w:p>
    <w:p>
      <w:pPr>
        <w:pStyle w:val="Style17"/>
        <w:widowControl/>
        <w:numPr>
          <w:ilvl w:val="0"/>
          <w:numId w:val="2"/>
        </w:numPr>
        <w:tabs>
          <w:tab w:val="left" w:pos="570" w:leader="none"/>
        </w:tabs>
        <w:overflowPunct w:val="true"/>
        <w:bidi w:val="0"/>
        <w:spacing w:lineRule="auto" w:line="360" w:before="0" w:after="0"/>
        <w:ind w:left="0" w:right="0" w:hanging="0"/>
        <w:jc w:val="both"/>
        <w:rPr>
          <w:b w:val="false"/>
          <w:b w:val="false"/>
          <w:bCs w:val="false"/>
          <w:color w:val="000000"/>
          <w:sz w:val="28"/>
          <w:szCs w:val="28"/>
        </w:rPr>
      </w:pPr>
      <w:r>
        <w:rPr>
          <w:rFonts w:ascii="Times New Roman" w:hAnsi="Times New Roman"/>
          <w:b w:val="false"/>
          <w:bCs w:val="false"/>
          <w:color w:val="000000"/>
          <w:sz w:val="28"/>
          <w:szCs w:val="28"/>
        </w:rPr>
        <w:t>Демченко С. Зміст правовідносин та предмет спору як головні критерії розмежування судових юрисдикцій / С. Демченко // Вісник Вищого адміністративного суду України. - 2010. - № 2. - С. 22-28.</w:t>
      </w:r>
    </w:p>
    <w:p>
      <w:pPr>
        <w:pStyle w:val="Style17"/>
        <w:widowControl/>
        <w:numPr>
          <w:ilvl w:val="0"/>
          <w:numId w:val="2"/>
        </w:numPr>
        <w:tabs>
          <w:tab w:val="left" w:pos="570" w:leader="none"/>
        </w:tabs>
        <w:overflowPunct w:val="true"/>
        <w:bidi w:val="0"/>
        <w:spacing w:lineRule="auto" w:line="360" w:before="0" w:after="0"/>
        <w:ind w:left="0" w:right="0" w:hanging="0"/>
        <w:jc w:val="both"/>
        <w:rPr>
          <w:b w:val="false"/>
          <w:b w:val="false"/>
          <w:bCs w:val="false"/>
          <w:sz w:val="28"/>
          <w:szCs w:val="28"/>
        </w:rPr>
      </w:pPr>
      <w:r>
        <w:rPr>
          <w:rFonts w:ascii="Times New Roman" w:hAnsi="Times New Roman"/>
          <w:b w:val="false"/>
          <w:bCs w:val="false"/>
          <w:sz w:val="28"/>
          <w:szCs w:val="28"/>
        </w:rPr>
        <w:t>Неугодніков А. О. Правовий статус адміністративного суду в Україні: адміністративно-правовий аспект: дис... кандидата юрид. наук : 12.00.07 / Неугодніков А. О. ;</w:t>
      </w:r>
    </w:p>
    <w:p>
      <w:pPr>
        <w:pStyle w:val="Style17"/>
        <w:widowControl/>
        <w:numPr>
          <w:ilvl w:val="0"/>
          <w:numId w:val="2"/>
        </w:numPr>
        <w:tabs>
          <w:tab w:val="left" w:pos="570" w:leader="none"/>
        </w:tabs>
        <w:overflowPunct w:val="true"/>
        <w:bidi w:val="0"/>
        <w:spacing w:lineRule="auto" w:line="360" w:before="0" w:after="0"/>
        <w:ind w:left="0" w:right="0" w:hanging="0"/>
        <w:jc w:val="both"/>
        <w:rPr>
          <w:b w:val="false"/>
          <w:b w:val="false"/>
          <w:bCs w:val="false"/>
          <w:sz w:val="28"/>
          <w:szCs w:val="28"/>
        </w:rPr>
      </w:pPr>
      <w:r>
        <w:rPr>
          <w:rFonts w:ascii="Times New Roman" w:hAnsi="Times New Roman"/>
          <w:b w:val="false"/>
          <w:bCs w:val="false"/>
          <w:sz w:val="28"/>
          <w:szCs w:val="28"/>
        </w:rPr>
        <w:t>Пасенюк О. Адміністративне судочинство: стан та напрямки розвитку / О. Пасенюк // Вісник Вищого адміністративного суду України. - 2011. - № 3.</w:t>
      </w:r>
    </w:p>
    <w:p>
      <w:pPr>
        <w:pStyle w:val="Style17"/>
        <w:widowControl/>
        <w:numPr>
          <w:ilvl w:val="0"/>
          <w:numId w:val="2"/>
        </w:numPr>
        <w:tabs>
          <w:tab w:val="left" w:pos="570" w:leader="none"/>
        </w:tabs>
        <w:overflowPunct w:val="true"/>
        <w:bidi w:val="0"/>
        <w:spacing w:lineRule="auto" w:line="360" w:before="0" w:after="0"/>
        <w:ind w:left="0" w:right="0" w:hanging="0"/>
        <w:jc w:val="both"/>
        <w:rPr>
          <w:b w:val="false"/>
          <w:b w:val="false"/>
          <w:bCs w:val="false"/>
          <w:sz w:val="28"/>
          <w:szCs w:val="28"/>
        </w:rPr>
      </w:pPr>
      <w:r>
        <w:rPr>
          <w:rFonts w:ascii="Times New Roman" w:hAnsi="Times New Roman"/>
          <w:b w:val="false"/>
          <w:bCs w:val="false"/>
          <w:sz w:val="28"/>
          <w:szCs w:val="28"/>
        </w:rPr>
        <w:t>Педько Ю. С. Становлення адміністративної юстиції в Україні : монографія / Ю. С. Педько. - К. : Ін-т держави і права ім. В. М.Корецького НАН України, 2003. – 203 с.</w:t>
      </w:r>
    </w:p>
    <w:p>
      <w:pPr>
        <w:pStyle w:val="Style17"/>
        <w:widowControl/>
        <w:numPr>
          <w:ilvl w:val="0"/>
          <w:numId w:val="2"/>
        </w:numPr>
        <w:tabs>
          <w:tab w:val="left" w:pos="570" w:leader="none"/>
        </w:tabs>
        <w:overflowPunct w:val="true"/>
        <w:bidi w:val="0"/>
        <w:spacing w:lineRule="auto" w:line="360" w:before="0" w:after="0"/>
        <w:ind w:left="0" w:right="0" w:hanging="0"/>
        <w:jc w:val="both"/>
        <w:rPr>
          <w:b w:val="false"/>
          <w:b w:val="false"/>
          <w:bCs w:val="false"/>
          <w:sz w:val="28"/>
          <w:szCs w:val="28"/>
        </w:rPr>
      </w:pPr>
      <w:r>
        <w:rPr>
          <w:rFonts w:ascii="Times New Roman" w:hAnsi="Times New Roman"/>
          <w:b w:val="false"/>
          <w:bCs w:val="false"/>
          <w:sz w:val="28"/>
          <w:szCs w:val="28"/>
        </w:rPr>
        <w:t>Рябченко О. П. Основи адміністративного судочинства в Україні: навч. посіб. / О.П. Рябченко, В. І. Бутенко, М. М. Ясинок, Л.Г. Лічман, С. О. Погрібний. – Суми : Вид-во «МакДен», 2008. – 200 с.</w:t>
      </w:r>
    </w:p>
    <w:p>
      <w:pPr>
        <w:pStyle w:val="Style17"/>
        <w:widowControl/>
        <w:numPr>
          <w:ilvl w:val="0"/>
          <w:numId w:val="2"/>
        </w:numPr>
        <w:tabs>
          <w:tab w:val="left" w:pos="570" w:leader="none"/>
        </w:tabs>
        <w:overflowPunct w:val="true"/>
        <w:bidi w:val="0"/>
        <w:spacing w:lineRule="auto" w:line="360" w:before="0" w:after="0"/>
        <w:ind w:left="0" w:right="0" w:hanging="0"/>
        <w:jc w:val="both"/>
        <w:rPr>
          <w:b w:val="false"/>
          <w:b w:val="false"/>
          <w:bCs w:val="false"/>
          <w:sz w:val="28"/>
          <w:szCs w:val="28"/>
        </w:rPr>
      </w:pPr>
      <w:r>
        <w:rPr>
          <w:rFonts w:ascii="Times New Roman" w:hAnsi="Times New Roman"/>
          <w:b w:val="false"/>
          <w:bCs w:val="false"/>
          <w:sz w:val="28"/>
          <w:szCs w:val="28"/>
        </w:rPr>
        <w:t>Сердюк В. В. Юрисдикція судів України за спеціалізацією : автореф. дис. на здобуття наук. ступ. канд. юрид. наук : спец.</w:t>
      </w:r>
    </w:p>
    <w:p>
      <w:pPr>
        <w:pStyle w:val="Style17"/>
        <w:widowControl/>
        <w:numPr>
          <w:ilvl w:val="0"/>
          <w:numId w:val="2"/>
        </w:numPr>
        <w:tabs>
          <w:tab w:val="left" w:pos="570" w:leader="none"/>
        </w:tabs>
        <w:overflowPunct w:val="true"/>
        <w:bidi w:val="0"/>
        <w:spacing w:lineRule="auto" w:line="360" w:before="0" w:after="0"/>
        <w:ind w:left="0" w:right="0" w:hanging="0"/>
        <w:jc w:val="both"/>
        <w:rPr>
          <w:b w:val="false"/>
          <w:b w:val="false"/>
          <w:bCs w:val="false"/>
          <w:sz w:val="28"/>
          <w:szCs w:val="28"/>
        </w:rPr>
      </w:pPr>
      <w:r>
        <w:rPr>
          <w:rFonts w:ascii="Times New Roman" w:hAnsi="Times New Roman"/>
          <w:b w:val="false"/>
          <w:bCs w:val="false"/>
          <w:sz w:val="28"/>
          <w:szCs w:val="28"/>
        </w:rPr>
        <w:t>Смокович М. Теоретичні аспекти в</w:t>
      </w:r>
      <w:r>
        <w:rPr>
          <w:rFonts w:ascii="Times New Roman" w:hAnsi="Times New Roman"/>
          <w:b w:val="false"/>
          <w:bCs w:val="false"/>
          <w:sz w:val="28"/>
          <w:szCs w:val="28"/>
        </w:rPr>
        <w:t>и</w:t>
      </w:r>
      <w:r>
        <w:rPr>
          <w:rFonts w:ascii="Times New Roman" w:hAnsi="Times New Roman"/>
          <w:b w:val="false"/>
          <w:bCs w:val="false"/>
          <w:sz w:val="28"/>
          <w:szCs w:val="28"/>
        </w:rPr>
        <w:t>значення компетенції адміністративних судів / М. Смокович // Вісник Вищого адміністративного суду України. - 2011. - № 4.</w:t>
      </w:r>
    </w:p>
    <w:p>
      <w:pPr>
        <w:pStyle w:val="Style17"/>
        <w:widowControl/>
        <w:numPr>
          <w:ilvl w:val="0"/>
          <w:numId w:val="2"/>
        </w:numPr>
        <w:tabs>
          <w:tab w:val="left" w:pos="570" w:leader="none"/>
        </w:tabs>
        <w:overflowPunct w:val="true"/>
        <w:bidi w:val="0"/>
        <w:spacing w:lineRule="auto" w:line="360" w:before="0" w:after="0"/>
        <w:ind w:left="0" w:right="0" w:hanging="0"/>
        <w:jc w:val="both"/>
        <w:rPr>
          <w:b w:val="false"/>
          <w:b w:val="false"/>
          <w:bCs w:val="false"/>
          <w:sz w:val="28"/>
          <w:szCs w:val="28"/>
        </w:rPr>
      </w:pPr>
      <w:r>
        <w:rPr>
          <w:rFonts w:ascii="Times New Roman" w:hAnsi="Times New Roman"/>
          <w:b w:val="false"/>
          <w:bCs w:val="false"/>
          <w:sz w:val="28"/>
          <w:szCs w:val="28"/>
        </w:rPr>
        <w:t>Стефанюк В. С. Судовий адміністративний процес : монографія / В. С. Стефанюк. - Х. : Консум, 2003. – 464 с.</w:t>
      </w:r>
    </w:p>
    <w:p>
      <w:pPr>
        <w:pStyle w:val="Style17"/>
        <w:widowControl/>
        <w:numPr>
          <w:ilvl w:val="0"/>
          <w:numId w:val="2"/>
        </w:numPr>
        <w:tabs>
          <w:tab w:val="left" w:pos="570" w:leader="none"/>
        </w:tabs>
        <w:overflowPunct w:val="true"/>
        <w:bidi w:val="0"/>
        <w:spacing w:lineRule="auto" w:line="360" w:before="0" w:after="0"/>
        <w:ind w:left="0" w:right="0" w:hanging="0"/>
        <w:jc w:val="both"/>
        <w:rPr>
          <w:b w:val="false"/>
          <w:b w:val="false"/>
          <w:bCs w:val="false"/>
          <w:sz w:val="28"/>
          <w:szCs w:val="28"/>
        </w:rPr>
      </w:pPr>
      <w:r>
        <w:rPr>
          <w:rFonts w:ascii="Times New Roman" w:hAnsi="Times New Roman"/>
          <w:b w:val="false"/>
          <w:bCs w:val="false"/>
          <w:sz w:val="28"/>
          <w:szCs w:val="28"/>
        </w:rPr>
        <w:t>Юридична енциклопедія. У 6 томах. / Редкол.: Ю.С. Шемчушенко (відп. ред.) та ін.. – К.: Видавництво „Українська енциклопедія” ім. М.П.Бажана, 2002. — Т.4: Н-П. — 720 с.: іл.</w:t>
      </w:r>
    </w:p>
    <w:sectPr>
      <w:footerReference w:type="default" r:id="rId2"/>
      <w:type w:val="nextPage"/>
      <w:pgSz w:w="11906" w:h="16838"/>
      <w:pgMar w:left="1701" w:right="850" w:header="0" w:top="1134" w:footer="1134" w:bottom="1693"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Tahoma">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Times New Roman">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6"/>
      <w:spacing w:before="0" w:after="200"/>
      <w:jc w:val="right"/>
      <w:rPr/>
    </w:pPr>
    <w:r>
      <w:rPr/>
      <w:fldChar w:fldCharType="begin"/>
    </w:r>
    <w:r>
      <w:instrText> PAGE </w:instrText>
    </w:r>
    <w:r>
      <w:fldChar w:fldCharType="separate"/>
    </w:r>
    <w:r>
      <w:t>48</w:t>
    </w:r>
    <w: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DejaVu Sans" w:cs="DejaVu Sans"/>
        <w:sz w:val="20"/>
        <w:szCs w:val="22"/>
        <w:lang w:val="ru-RU" w:eastAsia="ru-RU" w:bidi="ar-SA"/>
      </w:rPr>
    </w:rPrDefault>
    <w:pPrDefault>
      <w:pPr/>
    </w:pPrDefault>
  </w:docDefaults>
  <w:style w:type="paragraph" w:styleId="Normal">
    <w:name w:val="Normal"/>
    <w:qFormat/>
    <w:pPr>
      <w:widowControl/>
      <w:overflowPunct w:val="true"/>
      <w:bidi w:val="0"/>
      <w:spacing w:lineRule="auto" w:line="276" w:before="0" w:after="200"/>
      <w:jc w:val="left"/>
    </w:pPr>
    <w:rPr>
      <w:rFonts w:ascii="Calibri" w:hAnsi="Calibri" w:eastAsia="DejaVu Sans" w:cs="DejaVu Sans"/>
      <w:color w:val="00000A"/>
      <w:sz w:val="22"/>
      <w:szCs w:val="22"/>
      <w:lang w:val="ru-RU" w:eastAsia="ru-RU" w:bidi="ar-SA"/>
    </w:rPr>
  </w:style>
  <w:style w:type="paragraph" w:styleId="1">
    <w:name w:val="Heading 1"/>
    <w:basedOn w:val="Style16"/>
    <w:qFormat/>
    <w:pPr/>
    <w:rPr/>
  </w:style>
  <w:style w:type="paragraph" w:styleId="2">
    <w:name w:val="Heading 2"/>
    <w:basedOn w:val="Normal"/>
    <w:qFormat/>
    <w:pPr>
      <w:spacing w:lineRule="auto" w:line="240" w:before="280" w:after="280"/>
      <w:outlineLvl w:val="1"/>
    </w:pPr>
    <w:rPr>
      <w:rFonts w:ascii="Times New Roman" w:hAnsi="Times New Roman" w:eastAsia="Times New Roman" w:cs="Times New Roman"/>
      <w:b/>
      <w:bCs/>
      <w:sz w:val="36"/>
      <w:szCs w:val="36"/>
    </w:rPr>
  </w:style>
  <w:style w:type="paragraph" w:styleId="3">
    <w:name w:val="Heading 3"/>
    <w:basedOn w:val="Normal"/>
    <w:qFormat/>
    <w:pPr>
      <w:spacing w:lineRule="auto" w:line="240" w:before="280" w:after="280"/>
      <w:outlineLvl w:val="2"/>
    </w:pPr>
    <w:rPr>
      <w:rFonts w:ascii="Times New Roman" w:hAnsi="Times New Roman" w:eastAsia="Times New Roman" w:cs="Times New Roman"/>
      <w:b/>
      <w:bCs/>
      <w:sz w:val="27"/>
      <w:szCs w:val="27"/>
    </w:rPr>
  </w:style>
  <w:style w:type="paragraph" w:styleId="4">
    <w:name w:val="Heading 4"/>
    <w:basedOn w:val="Style16"/>
    <w:qFormat/>
    <w:pPr/>
    <w:rPr/>
  </w:style>
  <w:style w:type="character" w:styleId="DefaultParagraphFont">
    <w:name w:val="Default Paragraph Font"/>
    <w:qFormat/>
    <w:rPr/>
  </w:style>
  <w:style w:type="character" w:styleId="Appleconvertedspace">
    <w:name w:val="apple-converted-space"/>
    <w:basedOn w:val="DefaultParagraphFont"/>
    <w:qFormat/>
    <w:rPr/>
  </w:style>
  <w:style w:type="character" w:styleId="21">
    <w:name w:val="Заголовок 2 Знак"/>
    <w:basedOn w:val="DefaultParagraphFont"/>
    <w:qFormat/>
    <w:rPr>
      <w:rFonts w:ascii="Times New Roman" w:hAnsi="Times New Roman" w:eastAsia="Times New Roman" w:cs="Times New Roman"/>
      <w:b/>
      <w:bCs/>
      <w:sz w:val="36"/>
      <w:szCs w:val="36"/>
    </w:rPr>
  </w:style>
  <w:style w:type="character" w:styleId="31">
    <w:name w:val="Заголовок 3 Знак"/>
    <w:basedOn w:val="DefaultParagraphFont"/>
    <w:qFormat/>
    <w:rPr>
      <w:rFonts w:ascii="Times New Roman" w:hAnsi="Times New Roman" w:eastAsia="Times New Roman" w:cs="Times New Roman"/>
      <w:b/>
      <w:bCs/>
      <w:sz w:val="27"/>
      <w:szCs w:val="27"/>
    </w:rPr>
  </w:style>
  <w:style w:type="character" w:styleId="Strong">
    <w:name w:val="Strong"/>
    <w:basedOn w:val="DefaultParagraphFont"/>
    <w:qFormat/>
    <w:rPr>
      <w:b/>
      <w:bCs/>
    </w:rPr>
  </w:style>
  <w:style w:type="character" w:styleId="Style10">
    <w:name w:val="Выделение"/>
    <w:basedOn w:val="DefaultParagraphFont"/>
    <w:qFormat/>
    <w:rPr>
      <w:i/>
      <w:iCs/>
    </w:rPr>
  </w:style>
  <w:style w:type="character" w:styleId="Style11">
    <w:name w:val="Интернет-ссылка"/>
    <w:basedOn w:val="DefaultParagraphFont"/>
    <w:rPr>
      <w:color w:val="0000FF"/>
      <w:u w:val="single"/>
    </w:rPr>
  </w:style>
  <w:style w:type="character" w:styleId="Style12">
    <w:name w:val="Текст выноски Знак"/>
    <w:basedOn w:val="DefaultParagraphFont"/>
    <w:qFormat/>
    <w:rPr>
      <w:rFonts w:ascii="Tahoma" w:hAnsi="Tahoma" w:cs="Tahoma"/>
      <w:sz w:val="16"/>
      <w:szCs w:val="16"/>
    </w:rPr>
  </w:style>
  <w:style w:type="character" w:styleId="ListLabel1">
    <w:name w:val="ListLabel 1"/>
    <w:qFormat/>
    <w:rPr>
      <w:sz w:val="20"/>
    </w:rPr>
  </w:style>
  <w:style w:type="character" w:styleId="ListLabel2">
    <w:name w:val="ListLabel 2"/>
    <w:qFormat/>
    <w:rPr>
      <w:sz w:val="20"/>
    </w:rPr>
  </w:style>
  <w:style w:type="character" w:styleId="ListLabel3">
    <w:name w:val="ListLabel 3"/>
    <w:qFormat/>
    <w:rPr>
      <w:sz w:val="20"/>
    </w:rPr>
  </w:style>
  <w:style w:type="character" w:styleId="ListLabel4">
    <w:name w:val="ListLabel 4"/>
    <w:qFormat/>
    <w:rPr>
      <w:sz w:val="20"/>
    </w:rPr>
  </w:style>
  <w:style w:type="character" w:styleId="ListLabel5">
    <w:name w:val="ListLabel 5"/>
    <w:qFormat/>
    <w:rPr>
      <w:sz w:val="20"/>
    </w:rPr>
  </w:style>
  <w:style w:type="character" w:styleId="ListLabel6">
    <w:name w:val="ListLabel 6"/>
    <w:qFormat/>
    <w:rPr>
      <w:sz w:val="20"/>
    </w:rPr>
  </w:style>
  <w:style w:type="character" w:styleId="ListLabel7">
    <w:name w:val="ListLabel 7"/>
    <w:qFormat/>
    <w:rPr>
      <w:sz w:val="20"/>
    </w:rPr>
  </w:style>
  <w:style w:type="character" w:styleId="ListLabel8">
    <w:name w:val="ListLabel 8"/>
    <w:qFormat/>
    <w:rPr>
      <w:sz w:val="20"/>
    </w:rPr>
  </w:style>
  <w:style w:type="character" w:styleId="ListLabel9">
    <w:name w:val="ListLabel 9"/>
    <w:qFormat/>
    <w:rPr>
      <w:sz w:val="20"/>
    </w:rPr>
  </w:style>
  <w:style w:type="character" w:styleId="ListLabel10">
    <w:name w:val="ListLabel 10"/>
    <w:qFormat/>
    <w:rPr>
      <w:sz w:val="20"/>
    </w:rPr>
  </w:style>
  <w:style w:type="character" w:styleId="ListLabel11">
    <w:name w:val="ListLabel 11"/>
    <w:qFormat/>
    <w:rPr>
      <w:sz w:val="20"/>
    </w:rPr>
  </w:style>
  <w:style w:type="character" w:styleId="ListLabel12">
    <w:name w:val="ListLabel 12"/>
    <w:qFormat/>
    <w:rPr>
      <w:sz w:val="20"/>
    </w:rPr>
  </w:style>
  <w:style w:type="character" w:styleId="ListLabel13">
    <w:name w:val="ListLabel 13"/>
    <w:qFormat/>
    <w:rPr>
      <w:sz w:val="20"/>
    </w:rPr>
  </w:style>
  <w:style w:type="character" w:styleId="ListLabel14">
    <w:name w:val="ListLabel 14"/>
    <w:qFormat/>
    <w:rPr>
      <w:sz w:val="20"/>
    </w:rPr>
  </w:style>
  <w:style w:type="character" w:styleId="ListLabel15">
    <w:name w:val="ListLabel 15"/>
    <w:qFormat/>
    <w:rPr>
      <w:sz w:val="20"/>
    </w:rPr>
  </w:style>
  <w:style w:type="character" w:styleId="ListLabel16">
    <w:name w:val="ListLabel 16"/>
    <w:qFormat/>
    <w:rPr>
      <w:sz w:val="20"/>
    </w:rPr>
  </w:style>
  <w:style w:type="character" w:styleId="ListLabel17">
    <w:name w:val="ListLabel 17"/>
    <w:qFormat/>
    <w:rPr>
      <w:sz w:val="20"/>
    </w:rPr>
  </w:style>
  <w:style w:type="character" w:styleId="ListLabel18">
    <w:name w:val="ListLabel 18"/>
    <w:qFormat/>
    <w:rPr>
      <w:sz w:val="20"/>
    </w:rPr>
  </w:style>
  <w:style w:type="character" w:styleId="ListLabel19">
    <w:name w:val="ListLabel 19"/>
    <w:qFormat/>
    <w:rPr>
      <w:sz w:val="20"/>
    </w:rPr>
  </w:style>
  <w:style w:type="character" w:styleId="ListLabel20">
    <w:name w:val="ListLabel 20"/>
    <w:qFormat/>
    <w:rPr>
      <w:sz w:val="20"/>
    </w:rPr>
  </w:style>
  <w:style w:type="character" w:styleId="ListLabel21">
    <w:name w:val="ListLabel 21"/>
    <w:qFormat/>
    <w:rPr>
      <w:sz w:val="20"/>
    </w:rPr>
  </w:style>
  <w:style w:type="character" w:styleId="ListLabel22">
    <w:name w:val="ListLabel 22"/>
    <w:qFormat/>
    <w:rPr>
      <w:sz w:val="20"/>
    </w:rPr>
  </w:style>
  <w:style w:type="character" w:styleId="ListLabel23">
    <w:name w:val="ListLabel 23"/>
    <w:qFormat/>
    <w:rPr>
      <w:sz w:val="20"/>
    </w:rPr>
  </w:style>
  <w:style w:type="character" w:styleId="ListLabel24">
    <w:name w:val="ListLabel 24"/>
    <w:qFormat/>
    <w:rPr>
      <w:sz w:val="20"/>
    </w:rPr>
  </w:style>
  <w:style w:type="character" w:styleId="ListLabel25">
    <w:name w:val="ListLabel 25"/>
    <w:qFormat/>
    <w:rPr>
      <w:sz w:val="20"/>
    </w:rPr>
  </w:style>
  <w:style w:type="character" w:styleId="ListLabel26">
    <w:name w:val="ListLabel 26"/>
    <w:qFormat/>
    <w:rPr>
      <w:sz w:val="20"/>
    </w:rPr>
  </w:style>
  <w:style w:type="character" w:styleId="ListLabel27">
    <w:name w:val="ListLabel 27"/>
    <w:qFormat/>
    <w:rPr>
      <w:sz w:val="20"/>
    </w:rPr>
  </w:style>
  <w:style w:type="character" w:styleId="ListLabel28">
    <w:name w:val="ListLabel 28"/>
    <w:qFormat/>
    <w:rPr>
      <w:sz w:val="20"/>
    </w:rPr>
  </w:style>
  <w:style w:type="character" w:styleId="ListLabel29">
    <w:name w:val="ListLabel 29"/>
    <w:qFormat/>
    <w:rPr>
      <w:sz w:val="20"/>
    </w:rPr>
  </w:style>
  <w:style w:type="character" w:styleId="ListLabel30">
    <w:name w:val="ListLabel 30"/>
    <w:qFormat/>
    <w:rPr>
      <w:sz w:val="20"/>
    </w:rPr>
  </w:style>
  <w:style w:type="character" w:styleId="ListLabel31">
    <w:name w:val="ListLabel 31"/>
    <w:qFormat/>
    <w:rPr>
      <w:sz w:val="20"/>
    </w:rPr>
  </w:style>
  <w:style w:type="character" w:styleId="ListLabel32">
    <w:name w:val="ListLabel 32"/>
    <w:qFormat/>
    <w:rPr>
      <w:sz w:val="20"/>
    </w:rPr>
  </w:style>
  <w:style w:type="character" w:styleId="ListLabel33">
    <w:name w:val="ListLabel 33"/>
    <w:qFormat/>
    <w:rPr>
      <w:sz w:val="20"/>
    </w:rPr>
  </w:style>
  <w:style w:type="character" w:styleId="ListLabel34">
    <w:name w:val="ListLabel 34"/>
    <w:qFormat/>
    <w:rPr>
      <w:sz w:val="20"/>
    </w:rPr>
  </w:style>
  <w:style w:type="character" w:styleId="ListLabel35">
    <w:name w:val="ListLabel 35"/>
    <w:qFormat/>
    <w:rPr>
      <w:sz w:val="20"/>
    </w:rPr>
  </w:style>
  <w:style w:type="character" w:styleId="ListLabel36">
    <w:name w:val="ListLabel 36"/>
    <w:qFormat/>
    <w:rPr>
      <w:sz w:val="20"/>
    </w:rPr>
  </w:style>
  <w:style w:type="character" w:styleId="ListLabel37">
    <w:name w:val="ListLabel 37"/>
    <w:qFormat/>
    <w:rPr>
      <w:sz w:val="20"/>
    </w:rPr>
  </w:style>
  <w:style w:type="character" w:styleId="ListLabel38">
    <w:name w:val="ListLabel 38"/>
    <w:qFormat/>
    <w:rPr>
      <w:sz w:val="20"/>
    </w:rPr>
  </w:style>
  <w:style w:type="character" w:styleId="ListLabel39">
    <w:name w:val="ListLabel 39"/>
    <w:qFormat/>
    <w:rPr>
      <w:sz w:val="20"/>
    </w:rPr>
  </w:style>
  <w:style w:type="character" w:styleId="ListLabel40">
    <w:name w:val="ListLabel 40"/>
    <w:qFormat/>
    <w:rPr>
      <w:sz w:val="20"/>
    </w:rPr>
  </w:style>
  <w:style w:type="character" w:styleId="ListLabel41">
    <w:name w:val="ListLabel 41"/>
    <w:qFormat/>
    <w:rPr>
      <w:sz w:val="20"/>
    </w:rPr>
  </w:style>
  <w:style w:type="character" w:styleId="ListLabel42">
    <w:name w:val="ListLabel 42"/>
    <w:qFormat/>
    <w:rPr>
      <w:sz w:val="20"/>
    </w:rPr>
  </w:style>
  <w:style w:type="character" w:styleId="ListLabel43">
    <w:name w:val="ListLabel 43"/>
    <w:qFormat/>
    <w:rPr>
      <w:sz w:val="20"/>
    </w:rPr>
  </w:style>
  <w:style w:type="character" w:styleId="ListLabel44">
    <w:name w:val="ListLabel 44"/>
    <w:qFormat/>
    <w:rPr>
      <w:sz w:val="20"/>
    </w:rPr>
  </w:style>
  <w:style w:type="character" w:styleId="ListLabel45">
    <w:name w:val="ListLabel 45"/>
    <w:qFormat/>
    <w:rPr>
      <w:sz w:val="20"/>
    </w:rPr>
  </w:style>
  <w:style w:type="character" w:styleId="ListLabel46">
    <w:name w:val="ListLabel 46"/>
    <w:qFormat/>
    <w:rPr>
      <w:sz w:val="20"/>
    </w:rPr>
  </w:style>
  <w:style w:type="character" w:styleId="ListLabel47">
    <w:name w:val="ListLabel 47"/>
    <w:qFormat/>
    <w:rPr>
      <w:sz w:val="20"/>
    </w:rPr>
  </w:style>
  <w:style w:type="character" w:styleId="ListLabel48">
    <w:name w:val="ListLabel 48"/>
    <w:qFormat/>
    <w:rPr>
      <w:sz w:val="20"/>
    </w:rPr>
  </w:style>
  <w:style w:type="character" w:styleId="ListLabel49">
    <w:name w:val="ListLabel 49"/>
    <w:qFormat/>
    <w:rPr>
      <w:sz w:val="20"/>
    </w:rPr>
  </w:style>
  <w:style w:type="character" w:styleId="ListLabel50">
    <w:name w:val="ListLabel 50"/>
    <w:qFormat/>
    <w:rPr>
      <w:sz w:val="20"/>
    </w:rPr>
  </w:style>
  <w:style w:type="character" w:styleId="ListLabel51">
    <w:name w:val="ListLabel 51"/>
    <w:qFormat/>
    <w:rPr>
      <w:sz w:val="20"/>
    </w:rPr>
  </w:style>
  <w:style w:type="character" w:styleId="ListLabel52">
    <w:name w:val="ListLabel 52"/>
    <w:qFormat/>
    <w:rPr>
      <w:sz w:val="20"/>
    </w:rPr>
  </w:style>
  <w:style w:type="character" w:styleId="ListLabel53">
    <w:name w:val="ListLabel 53"/>
    <w:qFormat/>
    <w:rPr>
      <w:sz w:val="20"/>
    </w:rPr>
  </w:style>
  <w:style w:type="character" w:styleId="ListLabel54">
    <w:name w:val="ListLabel 54"/>
    <w:qFormat/>
    <w:rPr>
      <w:sz w:val="20"/>
    </w:rPr>
  </w:style>
  <w:style w:type="character" w:styleId="ListLabel55">
    <w:name w:val="ListLabel 55"/>
    <w:qFormat/>
    <w:rPr>
      <w:sz w:val="20"/>
    </w:rPr>
  </w:style>
  <w:style w:type="character" w:styleId="ListLabel56">
    <w:name w:val="ListLabel 56"/>
    <w:qFormat/>
    <w:rPr>
      <w:sz w:val="20"/>
    </w:rPr>
  </w:style>
  <w:style w:type="character" w:styleId="ListLabel57">
    <w:name w:val="ListLabel 57"/>
    <w:qFormat/>
    <w:rPr>
      <w:sz w:val="20"/>
    </w:rPr>
  </w:style>
  <w:style w:type="character" w:styleId="ListLabel58">
    <w:name w:val="ListLabel 58"/>
    <w:qFormat/>
    <w:rPr>
      <w:sz w:val="20"/>
    </w:rPr>
  </w:style>
  <w:style w:type="character" w:styleId="ListLabel59">
    <w:name w:val="ListLabel 59"/>
    <w:qFormat/>
    <w:rPr>
      <w:sz w:val="20"/>
    </w:rPr>
  </w:style>
  <w:style w:type="character" w:styleId="ListLabel60">
    <w:name w:val="ListLabel 60"/>
    <w:qFormat/>
    <w:rPr>
      <w:sz w:val="20"/>
    </w:rPr>
  </w:style>
  <w:style w:type="character" w:styleId="ListLabel61">
    <w:name w:val="ListLabel 61"/>
    <w:qFormat/>
    <w:rPr>
      <w:sz w:val="20"/>
    </w:rPr>
  </w:style>
  <w:style w:type="character" w:styleId="ListLabel62">
    <w:name w:val="ListLabel 62"/>
    <w:qFormat/>
    <w:rPr>
      <w:sz w:val="20"/>
    </w:rPr>
  </w:style>
  <w:style w:type="character" w:styleId="ListLabel63">
    <w:name w:val="ListLabel 63"/>
    <w:qFormat/>
    <w:rPr>
      <w:sz w:val="20"/>
    </w:rPr>
  </w:style>
  <w:style w:type="character" w:styleId="ListLabel64">
    <w:name w:val="ListLabel 64"/>
    <w:qFormat/>
    <w:rPr>
      <w:sz w:val="20"/>
    </w:rPr>
  </w:style>
  <w:style w:type="character" w:styleId="ListLabel65">
    <w:name w:val="ListLabel 65"/>
    <w:qFormat/>
    <w:rPr>
      <w:sz w:val="20"/>
    </w:rPr>
  </w:style>
  <w:style w:type="character" w:styleId="ListLabel66">
    <w:name w:val="ListLabel 66"/>
    <w:qFormat/>
    <w:rPr>
      <w:sz w:val="20"/>
    </w:rPr>
  </w:style>
  <w:style w:type="character" w:styleId="ListLabel67">
    <w:name w:val="ListLabel 67"/>
    <w:qFormat/>
    <w:rPr>
      <w:sz w:val="20"/>
    </w:rPr>
  </w:style>
  <w:style w:type="character" w:styleId="ListLabel68">
    <w:name w:val="ListLabel 68"/>
    <w:qFormat/>
    <w:rPr>
      <w:sz w:val="20"/>
    </w:rPr>
  </w:style>
  <w:style w:type="character" w:styleId="ListLabel69">
    <w:name w:val="ListLabel 69"/>
    <w:qFormat/>
    <w:rPr>
      <w:sz w:val="20"/>
    </w:rPr>
  </w:style>
  <w:style w:type="character" w:styleId="ListLabel70">
    <w:name w:val="ListLabel 70"/>
    <w:qFormat/>
    <w:rPr>
      <w:sz w:val="20"/>
    </w:rPr>
  </w:style>
  <w:style w:type="character" w:styleId="ListLabel71">
    <w:name w:val="ListLabel 71"/>
    <w:qFormat/>
    <w:rPr>
      <w:sz w:val="20"/>
    </w:rPr>
  </w:style>
  <w:style w:type="character" w:styleId="ListLabel72">
    <w:name w:val="ListLabel 72"/>
    <w:qFormat/>
    <w:rPr>
      <w:sz w:val="20"/>
    </w:rPr>
  </w:style>
  <w:style w:type="character" w:styleId="Style13">
    <w:name w:val="Маркеры списка"/>
    <w:qFormat/>
    <w:rPr>
      <w:rFonts w:ascii="OpenSymbol" w:hAnsi="OpenSymbol" w:eastAsia="OpenSymbol" w:cs="OpenSymbol"/>
    </w:rPr>
  </w:style>
  <w:style w:type="character" w:styleId="Style14">
    <w:name w:val="Выделение жирным"/>
    <w:qFormat/>
    <w:rPr>
      <w:b/>
      <w:bCs/>
    </w:rPr>
  </w:style>
  <w:style w:type="character" w:styleId="Ins">
    <w:name w:val="ins"/>
    <w:qFormat/>
    <w:rPr/>
  </w:style>
  <w:style w:type="character" w:styleId="Style15">
    <w:name w:val="Символ нумерации"/>
    <w:qFormat/>
    <w:rPr/>
  </w:style>
  <w:style w:type="paragraph" w:styleId="Style16">
    <w:name w:val="Заголовок"/>
    <w:basedOn w:val="Normal"/>
    <w:next w:val="Style17"/>
    <w:qFormat/>
    <w:pPr>
      <w:keepNext/>
      <w:spacing w:before="240" w:after="120"/>
    </w:pPr>
    <w:rPr>
      <w:rFonts w:ascii="Liberation Sans" w:hAnsi="Liberation Sans" w:eastAsia="Noto Sans CJK SC Regular" w:cs="FreeSans"/>
      <w:sz w:val="28"/>
      <w:szCs w:val="28"/>
    </w:rPr>
  </w:style>
  <w:style w:type="paragraph" w:styleId="Style17">
    <w:name w:val="Body Text"/>
    <w:basedOn w:val="Normal"/>
    <w:pPr>
      <w:bidi w:val="0"/>
      <w:spacing w:lineRule="auto" w:line="288" w:before="0" w:after="140"/>
    </w:pPr>
    <w:rPr>
      <w:rFonts w:ascii="Times New Roman" w:hAnsi="Times New Roman"/>
      <w:b/>
      <w:sz w:val="24"/>
    </w:rPr>
  </w:style>
  <w:style w:type="paragraph" w:styleId="Style18">
    <w:name w:val="List"/>
    <w:basedOn w:val="Style17"/>
    <w:pPr/>
    <w:rPr>
      <w:rFonts w:cs="FreeSans"/>
    </w:rPr>
  </w:style>
  <w:style w:type="paragraph" w:styleId="Style19">
    <w:name w:val="Caption"/>
    <w:basedOn w:val="Normal"/>
    <w:qFormat/>
    <w:pPr>
      <w:suppressLineNumbers/>
      <w:spacing w:before="120" w:after="120"/>
    </w:pPr>
    <w:rPr>
      <w:rFonts w:cs="FreeSans"/>
      <w:i/>
      <w:iCs/>
      <w:sz w:val="24"/>
      <w:szCs w:val="24"/>
    </w:rPr>
  </w:style>
  <w:style w:type="paragraph" w:styleId="Style20">
    <w:name w:val="Указатель"/>
    <w:basedOn w:val="Normal"/>
    <w:qFormat/>
    <w:pPr>
      <w:suppressLineNumbers/>
    </w:pPr>
    <w:rPr>
      <w:rFonts w:cs="FreeSans"/>
    </w:rPr>
  </w:style>
  <w:style w:type="paragraph" w:styleId="NormalWeb">
    <w:name w:val="Normal (Web)"/>
    <w:basedOn w:val="Normal"/>
    <w:qFormat/>
    <w:pPr>
      <w:spacing w:lineRule="auto" w:line="240" w:before="280" w:after="280"/>
    </w:pPr>
    <w:rPr>
      <w:rFonts w:ascii="Times New Roman" w:hAnsi="Times New Roman" w:eastAsia="Times New Roman" w:cs="Times New Roman"/>
      <w:sz w:val="24"/>
      <w:szCs w:val="24"/>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ListParagraph">
    <w:name w:val="List Paragraph"/>
    <w:basedOn w:val="Normal"/>
    <w:qFormat/>
    <w:pPr>
      <w:spacing w:before="0" w:after="200"/>
      <w:ind w:left="720" w:right="0" w:hanging="0"/>
      <w:contextualSpacing/>
    </w:pPr>
    <w:rPr/>
  </w:style>
  <w:style w:type="paragraph" w:styleId="Style21">
    <w:name w:val="Заголовок списка"/>
    <w:basedOn w:val="Normal"/>
    <w:qFormat/>
    <w:pPr/>
    <w:rPr/>
  </w:style>
  <w:style w:type="paragraph" w:styleId="Style22">
    <w:name w:val="Содержимое списка"/>
    <w:basedOn w:val="Normal"/>
    <w:qFormat/>
    <w:pPr/>
    <w:rPr/>
  </w:style>
  <w:style w:type="paragraph" w:styleId="Style23">
    <w:name w:val="Блочная цитата"/>
    <w:basedOn w:val="Normal"/>
    <w:qFormat/>
    <w:pPr/>
    <w:rPr/>
  </w:style>
  <w:style w:type="paragraph" w:styleId="Style24">
    <w:name w:val="Содержимое таблицы"/>
    <w:basedOn w:val="Normal"/>
    <w:qFormat/>
    <w:pPr/>
    <w:rPr/>
  </w:style>
  <w:style w:type="paragraph" w:styleId="Style25">
    <w:name w:val="Содержимое врезки"/>
    <w:basedOn w:val="Normal"/>
    <w:qFormat/>
    <w:pPr/>
    <w:rPr/>
  </w:style>
  <w:style w:type="paragraph" w:styleId="Style26">
    <w:name w:val="Footer"/>
    <w:basedOn w:val="Normal"/>
    <w:pPr>
      <w:bidi w:val="0"/>
      <w:jc w:val="left"/>
    </w:pPr>
    <w:rPr>
      <w:rFonts w:ascii="Times New Roman" w:hAnsi="Times New Roman"/>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1258</TotalTime>
  <Application>LibreOffice/5.3.1.2$Linux_X86_64 LibreOffice_project/30m0$Build-2</Application>
  <Pages>48</Pages>
  <Words>9704</Words>
  <Characters>69364</Characters>
  <CharactersWithSpaces>79175</CharactersWithSpaces>
  <Paragraphs>224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2017-10-14T08:52:00Z</dcterms:created>
  <dc:creator>admin</dc:creator>
  <dc:description/>
  <dc:language>ru-RU</dc:language>
  <cp:lastModifiedBy/>
  <dcterms:modified xsi:type="dcterms:W3CDTF">2017-11-10T04:26:40Z</dcterms:modified>
  <cp:revision>29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